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"/>
        <w:gridCol w:w="5953"/>
      </w:tblGrid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</w:rPr>
              <w:t>Název předmětu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30758C" w:rsidP="00CA72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Somatopedie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poradenství</w:t>
            </w:r>
            <w:r w:rsidR="00984CF9" w:rsidRPr="008B586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Rozvrhová zkratka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C4D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USS</w:t>
            </w:r>
            <w:r w:rsidRPr="008B5868">
              <w:rPr>
                <w:rFonts w:ascii="Arial Narrow" w:hAnsi="Arial Narrow"/>
                <w:sz w:val="20"/>
                <w:szCs w:val="20"/>
              </w:rPr>
              <w:t>/</w:t>
            </w:r>
            <w:r w:rsidR="0030758C">
              <w:rPr>
                <w:rFonts w:ascii="Arial Narrow" w:hAnsi="Arial Narrow"/>
                <w:sz w:val="20"/>
                <w:szCs w:val="20"/>
              </w:rPr>
              <w:t>NUMP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Rozsah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0E5A4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Zařazení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ZS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Počet kreditů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Forma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CVIČENÍ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  <w:lang w:val="cs-CZ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Mgr. Petra Jurkovičová, Ph.D.</w:t>
            </w: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5032"/>
        <w:gridCol w:w="921"/>
      </w:tblGrid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34472C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34472C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Téma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ta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30758C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Systém poradenství pro děti a žáky s tělesným postižením a nemocí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30758C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Raná péče s přesahem podpory rodině a škole resp. MŠ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30758C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Speciálněpedagogická diagnostika v somatopedii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30758C" w:rsidP="0081590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Praxe péče SPC o žáky s TP nebo nemocí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A" w:rsidRPr="0030758C" w:rsidRDefault="0030758C" w:rsidP="00CA72F4">
            <w:pPr>
              <w:jc w:val="both"/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30758C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azuistiky a příklady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 xml:space="preserve"> praxe</w:t>
            </w:r>
            <w:bookmarkStart w:id="0" w:name="_GoBack"/>
            <w:bookmarkEnd w:id="0"/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Způsob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zápočet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Podmínky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8159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aktivní účast, vypracování projektu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Doporučená literatura 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V</w:t>
            </w:r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ávrová, V. (2006). </w:t>
            </w:r>
            <w:r w:rsidRPr="00757062">
              <w:rPr>
                <w:rFonts w:ascii="Arial Narrow" w:hAnsi="Arial Narrow"/>
                <w:i/>
                <w:iCs/>
                <w:sz w:val="20"/>
                <w:szCs w:val="20"/>
                <w:lang w:val="sk-SK" w:eastAsia="sk-SK"/>
              </w:rPr>
              <w:t xml:space="preserve">Cystická </w:t>
            </w:r>
            <w:proofErr w:type="spellStart"/>
            <w:r w:rsidRPr="00757062">
              <w:rPr>
                <w:rFonts w:ascii="Arial Narrow" w:hAnsi="Arial Narrow"/>
                <w:i/>
                <w:iCs/>
                <w:sz w:val="20"/>
                <w:szCs w:val="20"/>
                <w:lang w:val="sk-SK" w:eastAsia="sk-SK"/>
              </w:rPr>
              <w:t>fibróza</w:t>
            </w:r>
            <w:proofErr w:type="spellEnd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. Praha: </w:t>
            </w:r>
            <w:proofErr w:type="spellStart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Grada</w:t>
            </w:r>
            <w:proofErr w:type="spellEnd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Publishing</w:t>
            </w:r>
            <w:proofErr w:type="spellEnd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.</w:t>
            </w:r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6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Jakubec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P. (2006).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Cystická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fibróza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Olomouc: Univerzita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Palackého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v Olomouci.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7" w:tgtFrame="_blank" w:history="1"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Kraus, J. (2005). 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Dětská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mozková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obrna</w:t>
              </w:r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Grada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Publishing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8" w:tgtFrame="_blank" w:history="1"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Valenta, M. (2008).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Herní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specialista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v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somatopedii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Olomouc: Univerzita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Palackého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v Olomouci.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9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Opatřilová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D., &amp; Zámečníková, D. (2008).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Možnosti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speciálně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pedagogické podpory u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osob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 hybným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postižením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 Brno: Masarykova univerzita.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0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Bednařík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 (2001).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Nemoci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kosterního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svalstva</w:t>
              </w:r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Triton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1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Maříková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T. (2004). 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Neurogenetika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svalových dystrofií a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kongenitálních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myopatií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Maxdorf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2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Pfeiffer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 (2007). 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Neurologie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v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rehabilitaci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: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pro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studium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a praxi</w:t>
              </w:r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Grada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Publishing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Vítková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M. 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Somatopedické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aspekty</w:t>
            </w: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. Brno :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Paido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2006. ISBN 80-7315-134-0. </w:t>
            </w:r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KÁBELE, F., KOLLÁROVÁ, E., KRACÍK, J., KOČÍ, J. 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Somatopedie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. Praha : Karlova Univerzita, 1992. ISBN 80-7066-533-5. </w:t>
            </w:r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NOVOSAD, L. 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Somatopedie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. Kapitoly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ze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základů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speciální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pedagogiky.</w:t>
            </w: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.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Liberec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: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PdF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 TUL, 2002. ISBN 80-7083-563-X. </w:t>
            </w:r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3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Jankovský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Ucelená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dětí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tělesným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a kombinovaným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postižením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: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somatopedická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a psychologická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hlediska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Triton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2006. ISBN 80-7254-730-5. </w:t>
              </w:r>
            </w:hyperlink>
          </w:p>
          <w:p w:rsidR="00815904" w:rsidRPr="00757062" w:rsidRDefault="0030758C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4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Votava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 (2003).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Ucelená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osob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zdravotním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postižením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Karolinum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Jesenský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J. </w:t>
            </w:r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Uvedení do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rehabilitace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zdravotně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postižených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. Praha :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Karolinum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1995. </w:t>
            </w:r>
          </w:p>
          <w:p w:rsidR="00815904" w:rsidRPr="00815904" w:rsidRDefault="0030758C" w:rsidP="00815904">
            <w:pPr>
              <w:pStyle w:val="Bezmezer"/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sk-SK" w:eastAsia="sk-SK"/>
              </w:rPr>
            </w:pPr>
            <w:hyperlink r:id="rId15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Jankovský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, J.,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Pfeiffer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, J., &amp;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Švestková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O. (2005).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Vybrané kapitoly z uceleného systému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rehabilitace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České Budějovice: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Jihočeská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univerzita.</w:t>
              </w:r>
            </w:hyperlink>
          </w:p>
          <w:p w:rsidR="00984CF9" w:rsidRPr="007748B8" w:rsidRDefault="00984CF9" w:rsidP="00CA72F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sectPr w:rsidR="00984CF9" w:rsidRPr="008B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782"/>
    <w:multiLevelType w:val="multilevel"/>
    <w:tmpl w:val="8F0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9"/>
    <w:rsid w:val="000E5A4A"/>
    <w:rsid w:val="0030758C"/>
    <w:rsid w:val="00575AB4"/>
    <w:rsid w:val="00665928"/>
    <w:rsid w:val="00757062"/>
    <w:rsid w:val="00815904"/>
    <w:rsid w:val="00984CF9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pol.cz/i2/i2.search.cls?ictx=upol&amp;src=upol_us_cat-0&amp;show_lim=0&amp;field=T001&amp;zf=UF_UPOL&amp;term=0004944" TargetMode="External"/><Relationship Id="rId13" Type="http://schemas.openxmlformats.org/officeDocument/2006/relationships/hyperlink" Target="http://library.upol.cz/i2/i2.search.cls?ictx=upol&amp;src=upol_us_cat-0&amp;show_lim=0&amp;field=T001&amp;zf=UF_UPOL&amp;term=m03078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upol.cz/i2/i2.search.cls?ictx=upol&amp;src=upol_us_cat-0&amp;show_lim=0&amp;field=T001&amp;zf=UF_UPOL&amp;term=m0059644" TargetMode="External"/><Relationship Id="rId12" Type="http://schemas.openxmlformats.org/officeDocument/2006/relationships/hyperlink" Target="http://library.upol.cz/i2/i2.search.cls?ictx=upol&amp;src=upol_us_cat-0&amp;show_lim=0&amp;field=T001&amp;zf=UF_UPOL&amp;term=m01915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rary.upol.cz/i2/i2.search.cls?ictx=upol&amp;src=upol_us_cat-0&amp;show_lim=0&amp;field=T001&amp;zf=UF_UPOL&amp;term=m0048596" TargetMode="External"/><Relationship Id="rId11" Type="http://schemas.openxmlformats.org/officeDocument/2006/relationships/hyperlink" Target="http://library.upol.cz/i2/i2.search.cls?ictx=upol&amp;src=upol_us_cat-0&amp;show_lim=0&amp;field=T001&amp;zf=UF_UPOL&amp;term=m01914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upol.cz/i2/i2.search.cls?ictx=upol&amp;src=upol_us_cat-0&amp;show_lim=0&amp;field=T001&amp;zf=UF_UPOL&amp;term=m0325768" TargetMode="External"/><Relationship Id="rId10" Type="http://schemas.openxmlformats.org/officeDocument/2006/relationships/hyperlink" Target="http://library.upol.cz/i2/i2.search.cls?ictx=upol&amp;src=upol_us_cat-0&amp;show_lim=0&amp;field=T001&amp;zf=UF_UPOL&amp;term=m0190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upol.cz/i2/i2.search.cls?ictx=upol&amp;src=upol_us_cat-0&amp;show_lim=0&amp;field=T001&amp;zf=UF_UPOL&amp;term=0004236" TargetMode="External"/><Relationship Id="rId14" Type="http://schemas.openxmlformats.org/officeDocument/2006/relationships/hyperlink" Target="http://library.upol.cz/i2/i2.search.cls?ictx=upol&amp;src=upol_us_cat-0&amp;show_lim=0&amp;field=T001&amp;zf=UF_UPOL&amp;term=m030789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2018-09-17T13:46:00Z</dcterms:created>
  <dcterms:modified xsi:type="dcterms:W3CDTF">2018-09-17T13:46:00Z</dcterms:modified>
</cp:coreProperties>
</file>