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DB" w:rsidRPr="00063DDB" w:rsidRDefault="00063DDB" w:rsidP="00063DDB">
      <w:r w:rsidRPr="00063DDB">
        <w:t>Příloha k zákonu č. 329/2011 Sb.</w:t>
      </w:r>
    </w:p>
    <w:p w:rsidR="00063DDB" w:rsidRPr="00063DDB" w:rsidRDefault="00063DDB" w:rsidP="00063DDB">
      <w:pPr>
        <w:rPr>
          <w:b/>
          <w:bCs/>
        </w:rPr>
      </w:pPr>
      <w:r w:rsidRPr="00063DDB">
        <w:rPr>
          <w:b/>
          <w:bCs/>
        </w:rPr>
        <w:t>Zdravotní postižení odůvodňující přiznání příspěvku na zvláštní pomůcku a zdravotní stavy vylučující jeho přiznání</w:t>
      </w:r>
    </w:p>
    <w:p w:rsidR="00063DDB" w:rsidRPr="00063DDB" w:rsidRDefault="00063DDB" w:rsidP="00063DDB">
      <w:r w:rsidRPr="00063DDB">
        <w:rPr>
          <w:b/>
          <w:bCs/>
        </w:rPr>
        <w:t>I.</w:t>
      </w:r>
      <w:r w:rsidRPr="00063DDB">
        <w:t> Zdravotní postižení odůvodňující přiznání příspěvku na zvláštní pomůcku</w:t>
      </w:r>
    </w:p>
    <w:p w:rsidR="00063DDB" w:rsidRPr="00063DDB" w:rsidRDefault="00063DDB" w:rsidP="00063DDB">
      <w:r w:rsidRPr="00063DDB">
        <w:rPr>
          <w:b/>
          <w:bCs/>
        </w:rPr>
        <w:t>1.</w:t>
      </w:r>
      <w:r w:rsidRPr="00063DDB">
        <w:t> Těžká vada nosného nebo pohybového ústrojí, za kterou se považuje:</w:t>
      </w:r>
    </w:p>
    <w:p w:rsidR="00063DDB" w:rsidRPr="00063DDB" w:rsidRDefault="00063DDB" w:rsidP="00063DDB">
      <w:r w:rsidRPr="00063DDB">
        <w:rPr>
          <w:b/>
          <w:bCs/>
        </w:rPr>
        <w:t>a)</w:t>
      </w:r>
      <w:r w:rsidRPr="00063DDB">
        <w:t> anatomická ztráta obou dolních končetin v bércích a výše,</w:t>
      </w:r>
    </w:p>
    <w:p w:rsidR="00063DDB" w:rsidRPr="00063DDB" w:rsidRDefault="00063DDB" w:rsidP="00063DDB">
      <w:r w:rsidRPr="00063DDB">
        <w:rPr>
          <w:b/>
          <w:bCs/>
        </w:rPr>
        <w:t>b)</w:t>
      </w:r>
      <w:r w:rsidRPr="00063DDB">
        <w:t> funkční ztráta obou dolních končetin na podkladě úplné obrny (plegie) nebo těžkého ochrnutí,</w:t>
      </w:r>
    </w:p>
    <w:p w:rsidR="00063DDB" w:rsidRPr="00063DDB" w:rsidRDefault="00063DDB" w:rsidP="00063DDB">
      <w:r w:rsidRPr="00063DDB">
        <w:rPr>
          <w:b/>
          <w:bCs/>
        </w:rPr>
        <w:t>c)</w:t>
      </w:r>
      <w:r w:rsidRPr="00063DDB">
        <w:t> anatomická ztráta podstatných částí jedné horní a jedné dolní končetiny v předloktí a výše a v bérci a výše,</w:t>
      </w:r>
    </w:p>
    <w:p w:rsidR="00063DDB" w:rsidRPr="00063DDB" w:rsidRDefault="00063DDB" w:rsidP="00063DDB">
      <w:r w:rsidRPr="00063DDB">
        <w:rPr>
          <w:b/>
          <w:bCs/>
        </w:rPr>
        <w:t>d)</w:t>
      </w:r>
      <w:r w:rsidRPr="00063DDB">
        <w:t> funkční ztráta jedné horní a jedné dolní končetiny na podkladě úplné obrny (plegie) nebo těžkého ochrnutí,</w:t>
      </w:r>
    </w:p>
    <w:p w:rsidR="00063DDB" w:rsidRPr="00063DDB" w:rsidRDefault="00063DDB" w:rsidP="00063DDB">
      <w:r w:rsidRPr="00063DDB">
        <w:rPr>
          <w:b/>
          <w:bCs/>
        </w:rPr>
        <w:t>e)</w:t>
      </w:r>
      <w:r w:rsidRPr="00063DDB">
        <w:t> ankylóza obou kyčelních kloubů nebo obou kolenních kloubů nebo podstatné omezení hybnosti obou kyčelních nebo kolenních kloubů pro těžké kontraktury v okolí,</w:t>
      </w:r>
    </w:p>
    <w:p w:rsidR="00063DDB" w:rsidRPr="00063DDB" w:rsidRDefault="00063DDB" w:rsidP="00063DDB">
      <w:r w:rsidRPr="00063DDB">
        <w:rPr>
          <w:b/>
          <w:bCs/>
        </w:rPr>
        <w:t>f)</w:t>
      </w:r>
      <w:r w:rsidRPr="00063DDB">
        <w:t> ztuhnutí všech úseků páteře s těžkým omezením pohyblivosti alespoň dvou nosných kloubů dolních končetin,</w:t>
      </w:r>
    </w:p>
    <w:p w:rsidR="00063DDB" w:rsidRPr="00063DDB" w:rsidRDefault="00063DDB" w:rsidP="00063DDB">
      <w:r w:rsidRPr="00063DDB">
        <w:rPr>
          <w:b/>
          <w:bCs/>
        </w:rPr>
        <w:t>g)</w:t>
      </w:r>
      <w:r w:rsidRPr="00063DDB">
        <w:t> těžké funkční poruchy pohyblivosti na základě postižení tří a více funkčních celků pohybového ústrojí s případnou odkázaností na vozík pro invalidy; funkčním celkem se přitom rozumí trup, pánev, končetina,</w:t>
      </w:r>
    </w:p>
    <w:p w:rsidR="00063DDB" w:rsidRPr="00063DDB" w:rsidRDefault="00063DDB" w:rsidP="00063DDB">
      <w:r w:rsidRPr="00063DDB">
        <w:rPr>
          <w:b/>
          <w:bCs/>
        </w:rPr>
        <w:t>h)</w:t>
      </w:r>
      <w:r w:rsidRPr="00063DDB">
        <w:t> disproporční poruchy růstu provázené deformitami končetin a hrudníku, pokud tělesná výška postiženého po ukončení růstu nepřesahuje 120 cm,</w:t>
      </w:r>
    </w:p>
    <w:p w:rsidR="00063DDB" w:rsidRPr="00063DDB" w:rsidRDefault="00063DDB" w:rsidP="00063DDB">
      <w:r w:rsidRPr="00063DDB">
        <w:rPr>
          <w:b/>
          <w:bCs/>
        </w:rPr>
        <w:t>i)</w:t>
      </w:r>
      <w:r w:rsidRPr="00063DDB">
        <w:t> anatomická ztráta dolní končetiny ve stehně bez možnosti oprotézování nebo exartikulace v kyčelním kloubu,</w:t>
      </w:r>
    </w:p>
    <w:p w:rsidR="00063DDB" w:rsidRPr="00063DDB" w:rsidRDefault="00063DDB" w:rsidP="00063DDB">
      <w:r w:rsidRPr="00063DDB">
        <w:rPr>
          <w:b/>
          <w:bCs/>
        </w:rPr>
        <w:t>j)</w:t>
      </w:r>
      <w:r w:rsidRPr="00063DDB">
        <w:t> anatomická nebo funkční ztráta končetiny,</w:t>
      </w:r>
    </w:p>
    <w:p w:rsidR="00063DDB" w:rsidRPr="00063DDB" w:rsidRDefault="00063DDB" w:rsidP="00063DDB">
      <w:r w:rsidRPr="00063DDB">
        <w:rPr>
          <w:b/>
          <w:bCs/>
        </w:rPr>
        <w:t>k)</w:t>
      </w:r>
      <w:r w:rsidRPr="00063DDB">
        <w:t> anatomická nebo funkční ztráta obou horních končetin,</w:t>
      </w:r>
    </w:p>
    <w:p w:rsidR="00063DDB" w:rsidRPr="00063DDB" w:rsidRDefault="00063DDB" w:rsidP="00063DDB">
      <w:r w:rsidRPr="00063DDB">
        <w:rPr>
          <w:b/>
          <w:bCs/>
        </w:rPr>
        <w:t>l)</w:t>
      </w:r>
      <w:r w:rsidRPr="00063DDB">
        <w:t> anatomická ztráta dolní končetiny ve stehně s možností oprotézování,</w:t>
      </w:r>
    </w:p>
    <w:p w:rsidR="00063DDB" w:rsidRPr="00063DDB" w:rsidRDefault="00063DDB" w:rsidP="00063DDB">
      <w:r w:rsidRPr="00063DDB">
        <w:rPr>
          <w:b/>
          <w:bCs/>
        </w:rPr>
        <w:t>m)</w:t>
      </w:r>
      <w:r w:rsidRPr="00063DDB">
        <w:t> anatomické ztráty horních končetin na úrovni obou zápěstí a výše nebo vrozené či získané vady obou horních končetin s úplnou ztrátou základní funkce obou rukou (úchopu a přidržování) závažně narušující posturální funkce těla.</w:t>
      </w:r>
    </w:p>
    <w:p w:rsidR="00063DDB" w:rsidRPr="00063DDB" w:rsidRDefault="00063DDB" w:rsidP="00063DDB">
      <w:r w:rsidRPr="00063DDB">
        <w:rPr>
          <w:b/>
          <w:bCs/>
        </w:rPr>
        <w:t>2.</w:t>
      </w:r>
      <w:r w:rsidRPr="00063DDB">
        <w:t> Těžké zrakové postižení, za které se považuje:</w:t>
      </w:r>
    </w:p>
    <w:p w:rsidR="00063DDB" w:rsidRPr="00063DDB" w:rsidRDefault="00063DDB" w:rsidP="00063DDB">
      <w:r w:rsidRPr="00063DDB">
        <w:rPr>
          <w:b/>
          <w:bCs/>
        </w:rPr>
        <w:t>a)</w:t>
      </w:r>
      <w:r w:rsidRPr="00063DDB">
        <w:t> úplná nevidomost obou očí, ztráta zraku zahrnující stavy od naprosté ztráty světlocitu až po zachování světlocitu s chybnou světelnou projekcí,</w:t>
      </w:r>
    </w:p>
    <w:p w:rsidR="00063DDB" w:rsidRPr="00063DDB" w:rsidRDefault="00063DDB" w:rsidP="00063DDB">
      <w:r w:rsidRPr="00063DDB">
        <w:rPr>
          <w:b/>
          <w:bCs/>
        </w:rPr>
        <w:t>b)</w:t>
      </w:r>
      <w:r w:rsidRPr="00063DDB">
        <w:t> praktická nevidomost obou očí, zraková ostrost s optimální korekcí v intervalu 1/60 (0,02) – světlocit s jistou projekcí nebo omezení zorného pole do 5 – 10 stupňů od bodu fixace, bez omezení zrakové ostrosti,</w:t>
      </w:r>
    </w:p>
    <w:p w:rsidR="00063DDB" w:rsidRPr="00063DDB" w:rsidRDefault="00063DDB" w:rsidP="00063DDB">
      <w:r w:rsidRPr="00063DDB">
        <w:rPr>
          <w:b/>
          <w:bCs/>
        </w:rPr>
        <w:t>c)</w:t>
      </w:r>
      <w:r w:rsidRPr="00063DDB">
        <w:t> těžká slabozrakost obou očí, zraková ostrost s optimální korekcí v intervalu 3/60 (0,05) – lepší než 1/60 (0,02),</w:t>
      </w:r>
    </w:p>
    <w:p w:rsidR="00063DDB" w:rsidRPr="00063DDB" w:rsidRDefault="00063DDB" w:rsidP="00063DDB">
      <w:r w:rsidRPr="00063DDB">
        <w:rPr>
          <w:b/>
          <w:bCs/>
        </w:rPr>
        <w:lastRenderedPageBreak/>
        <w:t>d)</w:t>
      </w:r>
      <w:r w:rsidRPr="00063DDB">
        <w:t> ztráta jednoho oka nebo ztráta visu jednoho oka se závažnější poruchou zrakových funkcí na druhém oku, visus vidoucího oka roven nebo horší než 6/60 (0,10) nebo koncentrické zúžení zorného pole do 45 stupňů od bodu fixace.</w:t>
      </w:r>
    </w:p>
    <w:p w:rsidR="00063DDB" w:rsidRPr="00063DDB" w:rsidRDefault="00063DDB" w:rsidP="00063DDB">
      <w:r w:rsidRPr="00063DDB">
        <w:rPr>
          <w:b/>
          <w:bCs/>
        </w:rPr>
        <w:t>3.</w:t>
      </w:r>
      <w:r w:rsidRPr="00063DDB">
        <w:t> Těžké sluchové postižení, za které se považuje:</w:t>
      </w:r>
    </w:p>
    <w:p w:rsidR="00063DDB" w:rsidRPr="00063DDB" w:rsidRDefault="00063DDB" w:rsidP="00063DDB">
      <w:r w:rsidRPr="00063DDB">
        <w:rPr>
          <w:b/>
          <w:bCs/>
        </w:rPr>
        <w:t>a)</w:t>
      </w:r>
      <w:r w:rsidRPr="00063DDB">
        <w:t> oboustranná úplná hluchota, neschopnost slyšet zvuky a rozumět řeči ani s nejvýkonnějším sluchadlem nebo přetrvávající neschopnost slyšení po implantaci kochleární nebo kmenové neuroprotézy,</w:t>
      </w:r>
    </w:p>
    <w:p w:rsidR="00063DDB" w:rsidRPr="00063DDB" w:rsidRDefault="00063DDB" w:rsidP="00063DDB">
      <w:r w:rsidRPr="00063DDB">
        <w:rPr>
          <w:b/>
          <w:bCs/>
        </w:rPr>
        <w:t>b)</w:t>
      </w:r>
      <w:r w:rsidRPr="00063DDB">
        <w:t> oboustranná praktická hluchota, ztráta sluchu při tónové audiometrii v rozsahu 70 - 90 dB, zbytkový sluch se ztrátou slyšení 85 - 90 %, sluchově postižený je schopen vnímat zvuk mluvené řeči jen se sluchadlem, ale rozumí jí jen minimálně (z 10 - 15 %), přes používání kompenzační pomůcky nebo po implantaci kochleární nebo kmenové neuroprotézy,</w:t>
      </w:r>
    </w:p>
    <w:p w:rsidR="00063DDB" w:rsidRPr="00063DDB" w:rsidRDefault="00063DDB" w:rsidP="00063DDB">
      <w:r w:rsidRPr="00063DDB">
        <w:rPr>
          <w:b/>
          <w:bCs/>
        </w:rPr>
        <w:t>c)</w:t>
      </w:r>
      <w:r w:rsidRPr="00063DDB">
        <w:t> těžká forma hluchoslepoty, kombinované těžké postižení sluchu a zraku, funkčně v rozsahu oboustranné těžké nedoslýchavosti, kterou se rozumí ztráta sluchu v rozsahu 56 - 69 dB, ztráta slyšení 65 - 84 % až ztráta sluchu v rozsahu oboustranné hluchoty a ztráta zraku v rozsahu těžké slabozrakosti obou očí, kterou se rozumí zraková ostrost s optimální korekcí v intervalu 3/60 (0,05) – lepší než 1/60 (0,02).</w:t>
      </w:r>
    </w:p>
    <w:p w:rsidR="00063DDB" w:rsidRPr="00063DDB" w:rsidRDefault="00063DDB" w:rsidP="00063DDB">
      <w:r w:rsidRPr="00063DDB">
        <w:rPr>
          <w:b/>
          <w:bCs/>
        </w:rPr>
        <w:t>4.</w:t>
      </w:r>
      <w:r w:rsidRPr="00063DDB">
        <w:t> Zdravotní postižení interní povahy způsobující těžké omezení pohyblivosti, za které se považuje:</w:t>
      </w:r>
    </w:p>
    <w:p w:rsidR="00063DDB" w:rsidRPr="00063DDB" w:rsidRDefault="00063DDB" w:rsidP="00063DDB">
      <w:r w:rsidRPr="00063DDB">
        <w:rPr>
          <w:b/>
          <w:bCs/>
        </w:rPr>
        <w:t>a)</w:t>
      </w:r>
      <w:r w:rsidRPr="00063DDB">
        <w:t> ischemická choroba dolních končetin ve stadiu kritické končetinové ischémie na jedné nebo obou dolních končetinách ohrožující vitalitu končetiny, a to ve stadiu II/IV podle Fontaina, resp. ve stadiu II/4, III/5 nebo III/6 podle Rutherforda, přičemž nebylo možno provést revaskularisaci nebo tato selhala,</w:t>
      </w:r>
    </w:p>
    <w:p w:rsidR="00063DDB" w:rsidRPr="00063DDB" w:rsidRDefault="00063DDB" w:rsidP="00063DDB">
      <w:r w:rsidRPr="00063DDB">
        <w:rPr>
          <w:b/>
          <w:bCs/>
        </w:rPr>
        <w:t>b)</w:t>
      </w:r>
      <w:r w:rsidRPr="00063DDB">
        <w:t> chronická žilní insuficience (CVI) ve stupni postižení C6a/s (CVI s floridním vředem) nebo C5a/s (CVI se zhojeným vředem) nebo skóre žilní disability (VDS) ve stupni 3,</w:t>
      </w:r>
    </w:p>
    <w:p w:rsidR="00063DDB" w:rsidRPr="00063DDB" w:rsidRDefault="00063DDB" w:rsidP="00063DDB">
      <w:r w:rsidRPr="00063DDB">
        <w:rPr>
          <w:b/>
          <w:bCs/>
        </w:rPr>
        <w:t>c)</w:t>
      </w:r>
      <w:r w:rsidRPr="00063DDB">
        <w:t> lymfedém dolní končetiny (primární i sekundární) ve stupni postižení 3 (elefantiáza),</w:t>
      </w:r>
    </w:p>
    <w:p w:rsidR="00063DDB" w:rsidRPr="00063DDB" w:rsidRDefault="00063DDB" w:rsidP="00063DDB">
      <w:r w:rsidRPr="00063DDB">
        <w:rPr>
          <w:b/>
          <w:bCs/>
        </w:rPr>
        <w:t>d)</w:t>
      </w:r>
      <w:r w:rsidRPr="00063DDB">
        <w:t> nezhojený defekt jedné nebo obou dolních končetin léčený adekvátním odlehčením (ortéza, vozík) po dobu nejméně 12 měsíců v certifikované podiatrické ambulanci pro diabetiky,</w:t>
      </w:r>
    </w:p>
    <w:p w:rsidR="00063DDB" w:rsidRPr="00063DDB" w:rsidRDefault="00063DDB" w:rsidP="00063DDB">
      <w:r w:rsidRPr="00063DDB">
        <w:rPr>
          <w:b/>
          <w:bCs/>
        </w:rPr>
        <w:t>e)</w:t>
      </w:r>
      <w:r w:rsidRPr="00063DDB">
        <w:t> Charcotova neuropatická osteoarthropatie jedné nebo obou končetin s nestabilitou nebo funkční deformitou nohy vyžadující trvalé odlehčení končetin pomocí ortézy nebo vozíku,</w:t>
      </w:r>
    </w:p>
    <w:p w:rsidR="00063DDB" w:rsidRPr="00063DDB" w:rsidRDefault="00063DDB" w:rsidP="00063DDB">
      <w:r w:rsidRPr="00063DDB">
        <w:rPr>
          <w:b/>
          <w:bCs/>
        </w:rPr>
        <w:t>f)</w:t>
      </w:r>
      <w:r w:rsidRPr="00063DDB">
        <w:t> srdeční selhání u osob zařazených na čekací listinu k transplantaci srdce,</w:t>
      </w:r>
    </w:p>
    <w:p w:rsidR="00063DDB" w:rsidRPr="00063DDB" w:rsidRDefault="00063DDB" w:rsidP="00063DDB">
      <w:r w:rsidRPr="00063DDB">
        <w:rPr>
          <w:b/>
          <w:bCs/>
        </w:rPr>
        <w:t>g)</w:t>
      </w:r>
      <w:r w:rsidRPr="00063DDB">
        <w:t> implantace dlouhodobých podpor oběhu,</w:t>
      </w:r>
    </w:p>
    <w:p w:rsidR="00063DDB" w:rsidRPr="00063DDB" w:rsidRDefault="00063DDB" w:rsidP="00063DDB">
      <w:r w:rsidRPr="00063DDB">
        <w:rPr>
          <w:b/>
          <w:bCs/>
        </w:rPr>
        <w:t>h)</w:t>
      </w:r>
      <w:r w:rsidRPr="00063DDB">
        <w:t> srdeční selhání s klidovými formami dušnosti ve funkční třídě NYHA IV,</w:t>
      </w:r>
    </w:p>
    <w:p w:rsidR="00063DDB" w:rsidRPr="00063DDB" w:rsidRDefault="00063DDB" w:rsidP="00063DDB">
      <w:r w:rsidRPr="00063DDB">
        <w:rPr>
          <w:b/>
          <w:bCs/>
        </w:rPr>
        <w:t>i)</w:t>
      </w:r>
      <w:r w:rsidRPr="00063DDB">
        <w:t> srdeční selhání ve funkční třídě NYHA III, pro které došlo v posledních 12 měsících alespoň dvakrát k hospitalizaci, kdy i po hospitalizacích zůstává funkční třída NYHA III,</w:t>
      </w:r>
    </w:p>
    <w:p w:rsidR="00063DDB" w:rsidRPr="00063DDB" w:rsidRDefault="00063DDB" w:rsidP="00063DDB">
      <w:r w:rsidRPr="00063DDB">
        <w:rPr>
          <w:b/>
          <w:bCs/>
        </w:rPr>
        <w:t>j)</w:t>
      </w:r>
      <w:r w:rsidRPr="00063DDB">
        <w:t> srdeční selhání nejméně ve funkční třídě nejméně NYHA III, je-li objektivně doloženo omezení funkční výkonnosti, za něž je považován výsledek spiroergometrického vyšetření s dokumentovaným VO</w:t>
      </w:r>
      <w:r w:rsidRPr="00063DDB">
        <w:rPr>
          <w:vertAlign w:val="subscript"/>
        </w:rPr>
        <w:t>2</w:t>
      </w:r>
      <w:r w:rsidRPr="00063DDB">
        <w:t>max ≤ 14 ml/kg/min, nebo u dítěte &lt; 50 % předpokládaných hodnot pro daný věk dítěte,</w:t>
      </w:r>
    </w:p>
    <w:p w:rsidR="00063DDB" w:rsidRPr="00063DDB" w:rsidRDefault="00063DDB" w:rsidP="00063DDB">
      <w:r w:rsidRPr="00063DDB">
        <w:rPr>
          <w:b/>
          <w:bCs/>
        </w:rPr>
        <w:t>k)</w:t>
      </w:r>
      <w:r w:rsidRPr="00063DDB">
        <w:t> těžká vleklá plicní nemoc vedoucí k respirační insuficienci, pro kterou je poskytována dlouhodobá domácí oxygenoterapie (DDOT),</w:t>
      </w:r>
    </w:p>
    <w:p w:rsidR="00063DDB" w:rsidRPr="00063DDB" w:rsidRDefault="00063DDB" w:rsidP="00063DDB">
      <w:r w:rsidRPr="00063DDB">
        <w:rPr>
          <w:b/>
          <w:bCs/>
        </w:rPr>
        <w:lastRenderedPageBreak/>
        <w:t>l)</w:t>
      </w:r>
      <w:r w:rsidRPr="00063DDB">
        <w:t> těžká vleklá plicní nemoc vedoucí k respirační insuficienci s hyperkapnií, pro kterou je poskytována domácí neinvazivní ventilační podpora (NIV).</w:t>
      </w:r>
    </w:p>
    <w:p w:rsidR="00063DDB" w:rsidRPr="00063DDB" w:rsidRDefault="00063DDB" w:rsidP="00063DDB">
      <w:r w:rsidRPr="00063DDB">
        <w:rPr>
          <w:b/>
          <w:bCs/>
        </w:rPr>
        <w:t>5.</w:t>
      </w:r>
      <w:r w:rsidRPr="00063DDB">
        <w:t> Zdravotní postižení odůvodňující přiznání příspěvku na zvláštní pomůcku na pořízení motorového vozidla nebo speciálního zádržního systému, za které se považují:</w:t>
      </w:r>
    </w:p>
    <w:p w:rsidR="00063DDB" w:rsidRPr="00063DDB" w:rsidRDefault="00063DDB" w:rsidP="00063DDB">
      <w:r w:rsidRPr="00063DDB">
        <w:rPr>
          <w:b/>
          <w:bCs/>
        </w:rPr>
        <w:t>a)</w:t>
      </w:r>
      <w:r w:rsidRPr="00063DDB">
        <w:t> zdravotní postižení uvedená v bodě 1 písm. a), b), d) až i), l) a m),</w:t>
      </w:r>
    </w:p>
    <w:p w:rsidR="00063DDB" w:rsidRPr="00063DDB" w:rsidRDefault="00063DDB" w:rsidP="00063DDB">
      <w:r w:rsidRPr="00063DDB">
        <w:rPr>
          <w:b/>
          <w:bCs/>
        </w:rPr>
        <w:t>b)</w:t>
      </w:r>
      <w:r w:rsidRPr="00063DDB">
        <w:t> těžká nebo hluboká mentální retardace a stavy na rozhraní těžké mentální retardace.</w:t>
      </w:r>
    </w:p>
    <w:p w:rsidR="00063DDB" w:rsidRPr="00063DDB" w:rsidRDefault="00063DDB" w:rsidP="00063DDB">
      <w:r w:rsidRPr="00063DDB">
        <w:rPr>
          <w:b/>
          <w:bCs/>
        </w:rPr>
        <w:t>II.</w:t>
      </w:r>
      <w:r w:rsidRPr="00063DDB">
        <w:t> Zdravotní stav vylučující přiznání příspěvku na zvláštní pomůcku (kontraindikace)</w:t>
      </w:r>
    </w:p>
    <w:p w:rsidR="00063DDB" w:rsidRPr="00063DDB" w:rsidRDefault="00063DDB" w:rsidP="00063DDB">
      <w:r w:rsidRPr="00063DDB">
        <w:rPr>
          <w:b/>
          <w:bCs/>
        </w:rPr>
        <w:t>a)</w:t>
      </w:r>
      <w:r w:rsidRPr="00063DDB">
        <w:t> duševní poruchy, poruchy chování a poruchy intelektu se závažnou poruchou, s narušením rozpoznávacích a ovládacích schopností, stavy závislosti na návykové látce nebo návykových látkách, způsobují-li nemožnost užívání pomůcky,</w:t>
      </w:r>
    </w:p>
    <w:p w:rsidR="00063DDB" w:rsidRPr="00063DDB" w:rsidRDefault="00063DDB" w:rsidP="00063DDB">
      <w:r w:rsidRPr="00063DDB">
        <w:rPr>
          <w:b/>
          <w:bCs/>
        </w:rPr>
        <w:t>b)</w:t>
      </w:r>
      <w:r w:rsidRPr="00063DDB">
        <w:t> hluchoněmost; tato kontraindikace platí jen ve vztahu k vodicímu psovi,</w:t>
      </w:r>
    </w:p>
    <w:p w:rsidR="00063DDB" w:rsidRPr="00063DDB" w:rsidRDefault="00063DDB" w:rsidP="00063DDB">
      <w:r w:rsidRPr="00063DDB">
        <w:rPr>
          <w:b/>
          <w:bCs/>
        </w:rPr>
        <w:t>c)</w:t>
      </w:r>
      <w:r w:rsidRPr="00063DDB">
        <w:t> těžká polyvalentní alergie a alergie na zvířecí srst; tato kontraindikace platí jen ve vztahu k vodicímu psovi.</w:t>
      </w:r>
    </w:p>
    <w:p w:rsidR="0003411E" w:rsidRDefault="0003411E">
      <w:bookmarkStart w:id="0" w:name="_GoBack"/>
      <w:bookmarkEnd w:id="0"/>
    </w:p>
    <w:sectPr w:rsidR="0003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DB"/>
    <w:rsid w:val="0000130F"/>
    <w:rsid w:val="0001544E"/>
    <w:rsid w:val="00015E01"/>
    <w:rsid w:val="00020716"/>
    <w:rsid w:val="000212C4"/>
    <w:rsid w:val="00027103"/>
    <w:rsid w:val="00031FF6"/>
    <w:rsid w:val="00032A67"/>
    <w:rsid w:val="00033C98"/>
    <w:rsid w:val="0003411E"/>
    <w:rsid w:val="00036EAC"/>
    <w:rsid w:val="00040990"/>
    <w:rsid w:val="00041EFF"/>
    <w:rsid w:val="00046685"/>
    <w:rsid w:val="00047877"/>
    <w:rsid w:val="00051F4D"/>
    <w:rsid w:val="00053D63"/>
    <w:rsid w:val="00057AB6"/>
    <w:rsid w:val="00060D8D"/>
    <w:rsid w:val="00062403"/>
    <w:rsid w:val="00063DDB"/>
    <w:rsid w:val="00070376"/>
    <w:rsid w:val="00070770"/>
    <w:rsid w:val="00081409"/>
    <w:rsid w:val="00085810"/>
    <w:rsid w:val="00090813"/>
    <w:rsid w:val="00091AC4"/>
    <w:rsid w:val="00091C0F"/>
    <w:rsid w:val="00097D0B"/>
    <w:rsid w:val="000A18F5"/>
    <w:rsid w:val="000A4CF7"/>
    <w:rsid w:val="000A6D99"/>
    <w:rsid w:val="000A75E7"/>
    <w:rsid w:val="000A7F0C"/>
    <w:rsid w:val="000B1FBC"/>
    <w:rsid w:val="000C18ED"/>
    <w:rsid w:val="000C47D8"/>
    <w:rsid w:val="000C590C"/>
    <w:rsid w:val="000D4866"/>
    <w:rsid w:val="000D5B4E"/>
    <w:rsid w:val="000D6A3B"/>
    <w:rsid w:val="000E0872"/>
    <w:rsid w:val="000E560B"/>
    <w:rsid w:val="000E6E4E"/>
    <w:rsid w:val="000F1196"/>
    <w:rsid w:val="000F5AC2"/>
    <w:rsid w:val="000F6982"/>
    <w:rsid w:val="001024F1"/>
    <w:rsid w:val="00104B52"/>
    <w:rsid w:val="00107679"/>
    <w:rsid w:val="00114F44"/>
    <w:rsid w:val="00116F3A"/>
    <w:rsid w:val="0011735E"/>
    <w:rsid w:val="00120ABB"/>
    <w:rsid w:val="00122690"/>
    <w:rsid w:val="00122F34"/>
    <w:rsid w:val="00124B95"/>
    <w:rsid w:val="001257C5"/>
    <w:rsid w:val="0012736F"/>
    <w:rsid w:val="00131640"/>
    <w:rsid w:val="00131A94"/>
    <w:rsid w:val="00132850"/>
    <w:rsid w:val="00136BFE"/>
    <w:rsid w:val="00136DF5"/>
    <w:rsid w:val="00143861"/>
    <w:rsid w:val="00145FCD"/>
    <w:rsid w:val="001461D7"/>
    <w:rsid w:val="00147959"/>
    <w:rsid w:val="001508F2"/>
    <w:rsid w:val="00151A95"/>
    <w:rsid w:val="00155CAD"/>
    <w:rsid w:val="00160CBD"/>
    <w:rsid w:val="001658D2"/>
    <w:rsid w:val="00166178"/>
    <w:rsid w:val="001674B2"/>
    <w:rsid w:val="0017119D"/>
    <w:rsid w:val="001721AE"/>
    <w:rsid w:val="00175D44"/>
    <w:rsid w:val="00177AA7"/>
    <w:rsid w:val="0018360E"/>
    <w:rsid w:val="00187809"/>
    <w:rsid w:val="001906DA"/>
    <w:rsid w:val="00193410"/>
    <w:rsid w:val="00196A33"/>
    <w:rsid w:val="001A00AA"/>
    <w:rsid w:val="001A2975"/>
    <w:rsid w:val="001A6FF9"/>
    <w:rsid w:val="001B44AC"/>
    <w:rsid w:val="001B5CC6"/>
    <w:rsid w:val="001B6ADE"/>
    <w:rsid w:val="001C4528"/>
    <w:rsid w:val="001C4E37"/>
    <w:rsid w:val="001C51F4"/>
    <w:rsid w:val="001D07EA"/>
    <w:rsid w:val="001D0DF6"/>
    <w:rsid w:val="001D0E43"/>
    <w:rsid w:val="001D1E7A"/>
    <w:rsid w:val="001D597D"/>
    <w:rsid w:val="001D65FF"/>
    <w:rsid w:val="001F2D10"/>
    <w:rsid w:val="001F68C8"/>
    <w:rsid w:val="001F7D1D"/>
    <w:rsid w:val="002042EF"/>
    <w:rsid w:val="00210A54"/>
    <w:rsid w:val="002116E5"/>
    <w:rsid w:val="00215FFB"/>
    <w:rsid w:val="00222D2E"/>
    <w:rsid w:val="002328C7"/>
    <w:rsid w:val="00232955"/>
    <w:rsid w:val="00232AB2"/>
    <w:rsid w:val="00232C5A"/>
    <w:rsid w:val="00236C4D"/>
    <w:rsid w:val="00252239"/>
    <w:rsid w:val="00253A8D"/>
    <w:rsid w:val="002547D5"/>
    <w:rsid w:val="0025531C"/>
    <w:rsid w:val="00255608"/>
    <w:rsid w:val="00261D46"/>
    <w:rsid w:val="00264EB3"/>
    <w:rsid w:val="00270F9A"/>
    <w:rsid w:val="00273CDC"/>
    <w:rsid w:val="0028551C"/>
    <w:rsid w:val="002876AD"/>
    <w:rsid w:val="00294C0B"/>
    <w:rsid w:val="002955E5"/>
    <w:rsid w:val="00295C26"/>
    <w:rsid w:val="00296C9A"/>
    <w:rsid w:val="00296E2F"/>
    <w:rsid w:val="002A1BFF"/>
    <w:rsid w:val="002A3E97"/>
    <w:rsid w:val="002A700F"/>
    <w:rsid w:val="002B0021"/>
    <w:rsid w:val="002B128C"/>
    <w:rsid w:val="002C3979"/>
    <w:rsid w:val="002C4F0B"/>
    <w:rsid w:val="002C53A5"/>
    <w:rsid w:val="002D03D8"/>
    <w:rsid w:val="002D0C71"/>
    <w:rsid w:val="002D3012"/>
    <w:rsid w:val="002E1EE1"/>
    <w:rsid w:val="002E3AA5"/>
    <w:rsid w:val="002E784A"/>
    <w:rsid w:val="002F004D"/>
    <w:rsid w:val="002F132B"/>
    <w:rsid w:val="002F4DE9"/>
    <w:rsid w:val="003000D1"/>
    <w:rsid w:val="00305999"/>
    <w:rsid w:val="0032420B"/>
    <w:rsid w:val="00326159"/>
    <w:rsid w:val="00330662"/>
    <w:rsid w:val="0033558B"/>
    <w:rsid w:val="00347F5C"/>
    <w:rsid w:val="00351E74"/>
    <w:rsid w:val="00352753"/>
    <w:rsid w:val="003529DD"/>
    <w:rsid w:val="003650CF"/>
    <w:rsid w:val="00365271"/>
    <w:rsid w:val="003713FA"/>
    <w:rsid w:val="00374D8C"/>
    <w:rsid w:val="00380BF9"/>
    <w:rsid w:val="0038259B"/>
    <w:rsid w:val="003829BB"/>
    <w:rsid w:val="00382E19"/>
    <w:rsid w:val="00383BD1"/>
    <w:rsid w:val="00384D5F"/>
    <w:rsid w:val="00386332"/>
    <w:rsid w:val="00392D16"/>
    <w:rsid w:val="00394CDD"/>
    <w:rsid w:val="00395B39"/>
    <w:rsid w:val="00396FBC"/>
    <w:rsid w:val="003A037F"/>
    <w:rsid w:val="003A1780"/>
    <w:rsid w:val="003A33BE"/>
    <w:rsid w:val="003A37FD"/>
    <w:rsid w:val="003A5A88"/>
    <w:rsid w:val="003B7B3D"/>
    <w:rsid w:val="003C1FFE"/>
    <w:rsid w:val="003C2CF4"/>
    <w:rsid w:val="003C44F3"/>
    <w:rsid w:val="003C53AC"/>
    <w:rsid w:val="003C74D9"/>
    <w:rsid w:val="003E3B4B"/>
    <w:rsid w:val="003F0FDA"/>
    <w:rsid w:val="003F116E"/>
    <w:rsid w:val="003F1C20"/>
    <w:rsid w:val="004115FA"/>
    <w:rsid w:val="00411600"/>
    <w:rsid w:val="00411ED8"/>
    <w:rsid w:val="00413F39"/>
    <w:rsid w:val="004144CE"/>
    <w:rsid w:val="00414586"/>
    <w:rsid w:val="00416CBE"/>
    <w:rsid w:val="00420EE5"/>
    <w:rsid w:val="00423DCD"/>
    <w:rsid w:val="00427392"/>
    <w:rsid w:val="00427A21"/>
    <w:rsid w:val="00432B9B"/>
    <w:rsid w:val="0043367E"/>
    <w:rsid w:val="00437817"/>
    <w:rsid w:val="00441E17"/>
    <w:rsid w:val="004438CD"/>
    <w:rsid w:val="004510A3"/>
    <w:rsid w:val="00451D4A"/>
    <w:rsid w:val="004531CA"/>
    <w:rsid w:val="00457921"/>
    <w:rsid w:val="00471676"/>
    <w:rsid w:val="00472B0D"/>
    <w:rsid w:val="00474DFF"/>
    <w:rsid w:val="00487556"/>
    <w:rsid w:val="00492996"/>
    <w:rsid w:val="004A1616"/>
    <w:rsid w:val="004A4407"/>
    <w:rsid w:val="004A4F2C"/>
    <w:rsid w:val="004B5CD7"/>
    <w:rsid w:val="004B701E"/>
    <w:rsid w:val="004B77C4"/>
    <w:rsid w:val="004C0682"/>
    <w:rsid w:val="004C2FA8"/>
    <w:rsid w:val="004C39F2"/>
    <w:rsid w:val="004C416C"/>
    <w:rsid w:val="004D004F"/>
    <w:rsid w:val="004D0A28"/>
    <w:rsid w:val="004D1036"/>
    <w:rsid w:val="004D30ED"/>
    <w:rsid w:val="004E0B18"/>
    <w:rsid w:val="004E586B"/>
    <w:rsid w:val="004E7938"/>
    <w:rsid w:val="004F148E"/>
    <w:rsid w:val="004F5334"/>
    <w:rsid w:val="004F6356"/>
    <w:rsid w:val="004F6D85"/>
    <w:rsid w:val="004F7213"/>
    <w:rsid w:val="00502A8B"/>
    <w:rsid w:val="00502E77"/>
    <w:rsid w:val="005118DC"/>
    <w:rsid w:val="00514CE3"/>
    <w:rsid w:val="00514D77"/>
    <w:rsid w:val="00516942"/>
    <w:rsid w:val="00524B25"/>
    <w:rsid w:val="005276A8"/>
    <w:rsid w:val="00534FBB"/>
    <w:rsid w:val="005374F8"/>
    <w:rsid w:val="00540AD5"/>
    <w:rsid w:val="00543DE6"/>
    <w:rsid w:val="0054439D"/>
    <w:rsid w:val="00544C1D"/>
    <w:rsid w:val="00545E79"/>
    <w:rsid w:val="005479F2"/>
    <w:rsid w:val="00550324"/>
    <w:rsid w:val="0055466D"/>
    <w:rsid w:val="005614FF"/>
    <w:rsid w:val="00564517"/>
    <w:rsid w:val="00571C90"/>
    <w:rsid w:val="0057481E"/>
    <w:rsid w:val="00575F23"/>
    <w:rsid w:val="00582106"/>
    <w:rsid w:val="00584760"/>
    <w:rsid w:val="00584782"/>
    <w:rsid w:val="005858F7"/>
    <w:rsid w:val="00590128"/>
    <w:rsid w:val="00590D11"/>
    <w:rsid w:val="00592637"/>
    <w:rsid w:val="00592D6C"/>
    <w:rsid w:val="0059329E"/>
    <w:rsid w:val="00593DF4"/>
    <w:rsid w:val="0059694C"/>
    <w:rsid w:val="0059703A"/>
    <w:rsid w:val="005B028B"/>
    <w:rsid w:val="005B3CF6"/>
    <w:rsid w:val="005B5A64"/>
    <w:rsid w:val="005B689F"/>
    <w:rsid w:val="005B68AC"/>
    <w:rsid w:val="005B73E4"/>
    <w:rsid w:val="005C069B"/>
    <w:rsid w:val="005C1498"/>
    <w:rsid w:val="005C1FE7"/>
    <w:rsid w:val="005C6EE4"/>
    <w:rsid w:val="005D0F9F"/>
    <w:rsid w:val="005D1BA2"/>
    <w:rsid w:val="005D3AF9"/>
    <w:rsid w:val="005D78BD"/>
    <w:rsid w:val="005E7A1C"/>
    <w:rsid w:val="005F1A40"/>
    <w:rsid w:val="005F3451"/>
    <w:rsid w:val="005F396B"/>
    <w:rsid w:val="0060077B"/>
    <w:rsid w:val="006045EB"/>
    <w:rsid w:val="00610F8B"/>
    <w:rsid w:val="006150F9"/>
    <w:rsid w:val="006221FA"/>
    <w:rsid w:val="006244EE"/>
    <w:rsid w:val="00625887"/>
    <w:rsid w:val="00625AEC"/>
    <w:rsid w:val="0063396A"/>
    <w:rsid w:val="0063468D"/>
    <w:rsid w:val="0063547A"/>
    <w:rsid w:val="00635D07"/>
    <w:rsid w:val="00636CE1"/>
    <w:rsid w:val="00637B03"/>
    <w:rsid w:val="00637CD9"/>
    <w:rsid w:val="00641AEF"/>
    <w:rsid w:val="00642276"/>
    <w:rsid w:val="00642813"/>
    <w:rsid w:val="00642C2A"/>
    <w:rsid w:val="00644ECD"/>
    <w:rsid w:val="0064508C"/>
    <w:rsid w:val="00657AC9"/>
    <w:rsid w:val="00660501"/>
    <w:rsid w:val="00661745"/>
    <w:rsid w:val="0066290F"/>
    <w:rsid w:val="00664276"/>
    <w:rsid w:val="006660F5"/>
    <w:rsid w:val="0067323E"/>
    <w:rsid w:val="00680925"/>
    <w:rsid w:val="00683785"/>
    <w:rsid w:val="00684677"/>
    <w:rsid w:val="00684E0D"/>
    <w:rsid w:val="0068584D"/>
    <w:rsid w:val="006916D7"/>
    <w:rsid w:val="006918C7"/>
    <w:rsid w:val="006929E3"/>
    <w:rsid w:val="00693108"/>
    <w:rsid w:val="00697D17"/>
    <w:rsid w:val="006A2AF7"/>
    <w:rsid w:val="006A6B60"/>
    <w:rsid w:val="006B0877"/>
    <w:rsid w:val="006B328E"/>
    <w:rsid w:val="006B4E3D"/>
    <w:rsid w:val="006B675E"/>
    <w:rsid w:val="006B7D2E"/>
    <w:rsid w:val="006C0954"/>
    <w:rsid w:val="006C107F"/>
    <w:rsid w:val="006C2E67"/>
    <w:rsid w:val="006C39DD"/>
    <w:rsid w:val="006C7497"/>
    <w:rsid w:val="006D1C25"/>
    <w:rsid w:val="006D2213"/>
    <w:rsid w:val="006D2B47"/>
    <w:rsid w:val="006D3BC2"/>
    <w:rsid w:val="006E1A1A"/>
    <w:rsid w:val="006E2514"/>
    <w:rsid w:val="006E4BF5"/>
    <w:rsid w:val="006E5984"/>
    <w:rsid w:val="006E5A84"/>
    <w:rsid w:val="006F0A99"/>
    <w:rsid w:val="0070031F"/>
    <w:rsid w:val="0070494F"/>
    <w:rsid w:val="00705AAC"/>
    <w:rsid w:val="007162F1"/>
    <w:rsid w:val="007177E7"/>
    <w:rsid w:val="00721076"/>
    <w:rsid w:val="00725094"/>
    <w:rsid w:val="00732AD2"/>
    <w:rsid w:val="00732F5B"/>
    <w:rsid w:val="00734F3F"/>
    <w:rsid w:val="007467C3"/>
    <w:rsid w:val="00752A09"/>
    <w:rsid w:val="007570C4"/>
    <w:rsid w:val="0076035F"/>
    <w:rsid w:val="00760A35"/>
    <w:rsid w:val="00763F1B"/>
    <w:rsid w:val="00765E68"/>
    <w:rsid w:val="00767A3C"/>
    <w:rsid w:val="00767D95"/>
    <w:rsid w:val="00767D9F"/>
    <w:rsid w:val="00772AA6"/>
    <w:rsid w:val="0077535F"/>
    <w:rsid w:val="00777762"/>
    <w:rsid w:val="0078309F"/>
    <w:rsid w:val="00784238"/>
    <w:rsid w:val="00792CA1"/>
    <w:rsid w:val="007959F4"/>
    <w:rsid w:val="007965D3"/>
    <w:rsid w:val="007970C0"/>
    <w:rsid w:val="007A1D9C"/>
    <w:rsid w:val="007B259E"/>
    <w:rsid w:val="007B28BF"/>
    <w:rsid w:val="007B683F"/>
    <w:rsid w:val="007C3CAD"/>
    <w:rsid w:val="007C55E3"/>
    <w:rsid w:val="007C66F0"/>
    <w:rsid w:val="007C7607"/>
    <w:rsid w:val="007D112C"/>
    <w:rsid w:val="007D2769"/>
    <w:rsid w:val="007D2C1E"/>
    <w:rsid w:val="007D6A57"/>
    <w:rsid w:val="007E2003"/>
    <w:rsid w:val="007E31AF"/>
    <w:rsid w:val="007E6D64"/>
    <w:rsid w:val="007F3A64"/>
    <w:rsid w:val="00804BA4"/>
    <w:rsid w:val="00810236"/>
    <w:rsid w:val="00810E21"/>
    <w:rsid w:val="00820275"/>
    <w:rsid w:val="00822E95"/>
    <w:rsid w:val="00824AB0"/>
    <w:rsid w:val="0082527D"/>
    <w:rsid w:val="00831FE7"/>
    <w:rsid w:val="0083279A"/>
    <w:rsid w:val="008413D6"/>
    <w:rsid w:val="00842E2D"/>
    <w:rsid w:val="00846A56"/>
    <w:rsid w:val="00854645"/>
    <w:rsid w:val="0085556A"/>
    <w:rsid w:val="0085742F"/>
    <w:rsid w:val="008633FD"/>
    <w:rsid w:val="008644F4"/>
    <w:rsid w:val="0086462B"/>
    <w:rsid w:val="00864B88"/>
    <w:rsid w:val="00865324"/>
    <w:rsid w:val="00865864"/>
    <w:rsid w:val="0087130A"/>
    <w:rsid w:val="00872F88"/>
    <w:rsid w:val="00874EDE"/>
    <w:rsid w:val="008923DB"/>
    <w:rsid w:val="00893C25"/>
    <w:rsid w:val="00894039"/>
    <w:rsid w:val="00896E4B"/>
    <w:rsid w:val="0089753C"/>
    <w:rsid w:val="008A2C8A"/>
    <w:rsid w:val="008A3601"/>
    <w:rsid w:val="008A714B"/>
    <w:rsid w:val="008A799E"/>
    <w:rsid w:val="008A7EC2"/>
    <w:rsid w:val="008B0F5E"/>
    <w:rsid w:val="008B1204"/>
    <w:rsid w:val="008B14A7"/>
    <w:rsid w:val="008B33BD"/>
    <w:rsid w:val="008B7FBA"/>
    <w:rsid w:val="008C1291"/>
    <w:rsid w:val="008C1C85"/>
    <w:rsid w:val="008C5A80"/>
    <w:rsid w:val="008C5F92"/>
    <w:rsid w:val="008C605E"/>
    <w:rsid w:val="008C72DE"/>
    <w:rsid w:val="008C7520"/>
    <w:rsid w:val="008E41CF"/>
    <w:rsid w:val="008F2898"/>
    <w:rsid w:val="009062C5"/>
    <w:rsid w:val="009063DA"/>
    <w:rsid w:val="00907305"/>
    <w:rsid w:val="009157A9"/>
    <w:rsid w:val="00916312"/>
    <w:rsid w:val="00916E67"/>
    <w:rsid w:val="009231D6"/>
    <w:rsid w:val="00925AE5"/>
    <w:rsid w:val="00927467"/>
    <w:rsid w:val="00931360"/>
    <w:rsid w:val="00934BBE"/>
    <w:rsid w:val="00934EA3"/>
    <w:rsid w:val="0093566B"/>
    <w:rsid w:val="00936613"/>
    <w:rsid w:val="00936E22"/>
    <w:rsid w:val="00937387"/>
    <w:rsid w:val="0094254B"/>
    <w:rsid w:val="009428B0"/>
    <w:rsid w:val="00945EC1"/>
    <w:rsid w:val="009510A3"/>
    <w:rsid w:val="009520DC"/>
    <w:rsid w:val="00954776"/>
    <w:rsid w:val="00954A7B"/>
    <w:rsid w:val="00961AD4"/>
    <w:rsid w:val="00961C88"/>
    <w:rsid w:val="009677F9"/>
    <w:rsid w:val="00972604"/>
    <w:rsid w:val="00972BDC"/>
    <w:rsid w:val="0097399C"/>
    <w:rsid w:val="0097425F"/>
    <w:rsid w:val="00981B4F"/>
    <w:rsid w:val="00986811"/>
    <w:rsid w:val="0098777D"/>
    <w:rsid w:val="00987B9F"/>
    <w:rsid w:val="00990D2E"/>
    <w:rsid w:val="00993629"/>
    <w:rsid w:val="009949B6"/>
    <w:rsid w:val="009963C0"/>
    <w:rsid w:val="009A4BDE"/>
    <w:rsid w:val="009A6A59"/>
    <w:rsid w:val="009B6413"/>
    <w:rsid w:val="009C0AE2"/>
    <w:rsid w:val="009C1587"/>
    <w:rsid w:val="009C3979"/>
    <w:rsid w:val="009D4CA1"/>
    <w:rsid w:val="009D67A0"/>
    <w:rsid w:val="009E4C3A"/>
    <w:rsid w:val="009E6BB1"/>
    <w:rsid w:val="009E7538"/>
    <w:rsid w:val="009F5307"/>
    <w:rsid w:val="00A00628"/>
    <w:rsid w:val="00A0135A"/>
    <w:rsid w:val="00A02152"/>
    <w:rsid w:val="00A02AB0"/>
    <w:rsid w:val="00A02ADD"/>
    <w:rsid w:val="00A0782B"/>
    <w:rsid w:val="00A108D9"/>
    <w:rsid w:val="00A127F7"/>
    <w:rsid w:val="00A12F26"/>
    <w:rsid w:val="00A16943"/>
    <w:rsid w:val="00A22D52"/>
    <w:rsid w:val="00A22D64"/>
    <w:rsid w:val="00A27A2B"/>
    <w:rsid w:val="00A31FA8"/>
    <w:rsid w:val="00A339A3"/>
    <w:rsid w:val="00A3525A"/>
    <w:rsid w:val="00A35DAD"/>
    <w:rsid w:val="00A36DED"/>
    <w:rsid w:val="00A40227"/>
    <w:rsid w:val="00A42E0D"/>
    <w:rsid w:val="00A43F22"/>
    <w:rsid w:val="00A463C1"/>
    <w:rsid w:val="00A47251"/>
    <w:rsid w:val="00A47B96"/>
    <w:rsid w:val="00A52F9D"/>
    <w:rsid w:val="00A53F27"/>
    <w:rsid w:val="00A54931"/>
    <w:rsid w:val="00A707C3"/>
    <w:rsid w:val="00A70EB9"/>
    <w:rsid w:val="00A7209D"/>
    <w:rsid w:val="00A75482"/>
    <w:rsid w:val="00A83146"/>
    <w:rsid w:val="00A86AF1"/>
    <w:rsid w:val="00A91062"/>
    <w:rsid w:val="00A93BE3"/>
    <w:rsid w:val="00A97413"/>
    <w:rsid w:val="00AA1E20"/>
    <w:rsid w:val="00AA406E"/>
    <w:rsid w:val="00AA7172"/>
    <w:rsid w:val="00AB14EF"/>
    <w:rsid w:val="00AB2A08"/>
    <w:rsid w:val="00AB4999"/>
    <w:rsid w:val="00AB499E"/>
    <w:rsid w:val="00AC36B5"/>
    <w:rsid w:val="00AC4E49"/>
    <w:rsid w:val="00AC5298"/>
    <w:rsid w:val="00AD02FF"/>
    <w:rsid w:val="00AD0AA3"/>
    <w:rsid w:val="00AD335A"/>
    <w:rsid w:val="00AD39EE"/>
    <w:rsid w:val="00AD3FC0"/>
    <w:rsid w:val="00AE102B"/>
    <w:rsid w:val="00AE31C0"/>
    <w:rsid w:val="00AE5806"/>
    <w:rsid w:val="00AE7086"/>
    <w:rsid w:val="00AF0862"/>
    <w:rsid w:val="00AF38A8"/>
    <w:rsid w:val="00AF6F9F"/>
    <w:rsid w:val="00B02761"/>
    <w:rsid w:val="00B03322"/>
    <w:rsid w:val="00B054E5"/>
    <w:rsid w:val="00B07FFD"/>
    <w:rsid w:val="00B1419A"/>
    <w:rsid w:val="00B150AE"/>
    <w:rsid w:val="00B158BD"/>
    <w:rsid w:val="00B15F9D"/>
    <w:rsid w:val="00B173A9"/>
    <w:rsid w:val="00B20306"/>
    <w:rsid w:val="00B23B72"/>
    <w:rsid w:val="00B23CDA"/>
    <w:rsid w:val="00B24BFE"/>
    <w:rsid w:val="00B24F51"/>
    <w:rsid w:val="00B253CA"/>
    <w:rsid w:val="00B2760A"/>
    <w:rsid w:val="00B35A65"/>
    <w:rsid w:val="00B361E7"/>
    <w:rsid w:val="00B36432"/>
    <w:rsid w:val="00B3649C"/>
    <w:rsid w:val="00B3700C"/>
    <w:rsid w:val="00B37378"/>
    <w:rsid w:val="00B37A53"/>
    <w:rsid w:val="00B37CC0"/>
    <w:rsid w:val="00B41E97"/>
    <w:rsid w:val="00B424E5"/>
    <w:rsid w:val="00B43754"/>
    <w:rsid w:val="00B52B55"/>
    <w:rsid w:val="00B540D0"/>
    <w:rsid w:val="00B56C54"/>
    <w:rsid w:val="00B56FAB"/>
    <w:rsid w:val="00B63DFC"/>
    <w:rsid w:val="00B65073"/>
    <w:rsid w:val="00B73CD6"/>
    <w:rsid w:val="00B74154"/>
    <w:rsid w:val="00B747A2"/>
    <w:rsid w:val="00B77A64"/>
    <w:rsid w:val="00B8344B"/>
    <w:rsid w:val="00B85768"/>
    <w:rsid w:val="00B87ADB"/>
    <w:rsid w:val="00B95176"/>
    <w:rsid w:val="00BA65C8"/>
    <w:rsid w:val="00BB0803"/>
    <w:rsid w:val="00BB0EEB"/>
    <w:rsid w:val="00BB22C8"/>
    <w:rsid w:val="00BB2F72"/>
    <w:rsid w:val="00BB328A"/>
    <w:rsid w:val="00BB4FCD"/>
    <w:rsid w:val="00BB5C0E"/>
    <w:rsid w:val="00BB6938"/>
    <w:rsid w:val="00BB7EAC"/>
    <w:rsid w:val="00BC2984"/>
    <w:rsid w:val="00BC42DA"/>
    <w:rsid w:val="00BC4C6A"/>
    <w:rsid w:val="00BC7358"/>
    <w:rsid w:val="00BE17B9"/>
    <w:rsid w:val="00BE33D2"/>
    <w:rsid w:val="00BE484D"/>
    <w:rsid w:val="00BE6F35"/>
    <w:rsid w:val="00BF1DCE"/>
    <w:rsid w:val="00BF30B1"/>
    <w:rsid w:val="00BF3A1B"/>
    <w:rsid w:val="00BF40B3"/>
    <w:rsid w:val="00BF7589"/>
    <w:rsid w:val="00C008E7"/>
    <w:rsid w:val="00C02C32"/>
    <w:rsid w:val="00C02CB5"/>
    <w:rsid w:val="00C05079"/>
    <w:rsid w:val="00C21F3E"/>
    <w:rsid w:val="00C2287A"/>
    <w:rsid w:val="00C25664"/>
    <w:rsid w:val="00C27851"/>
    <w:rsid w:val="00C30C5E"/>
    <w:rsid w:val="00C324A0"/>
    <w:rsid w:val="00C34343"/>
    <w:rsid w:val="00C35FCC"/>
    <w:rsid w:val="00C3767D"/>
    <w:rsid w:val="00C40E9B"/>
    <w:rsid w:val="00C43E3C"/>
    <w:rsid w:val="00C44093"/>
    <w:rsid w:val="00C45836"/>
    <w:rsid w:val="00C5191E"/>
    <w:rsid w:val="00C5291A"/>
    <w:rsid w:val="00C54D5C"/>
    <w:rsid w:val="00C566A6"/>
    <w:rsid w:val="00C66549"/>
    <w:rsid w:val="00C731C4"/>
    <w:rsid w:val="00C73E6D"/>
    <w:rsid w:val="00C74C13"/>
    <w:rsid w:val="00C76415"/>
    <w:rsid w:val="00C80941"/>
    <w:rsid w:val="00C80D94"/>
    <w:rsid w:val="00C8409A"/>
    <w:rsid w:val="00C90B9D"/>
    <w:rsid w:val="00C91C72"/>
    <w:rsid w:val="00C91F88"/>
    <w:rsid w:val="00C920A4"/>
    <w:rsid w:val="00C92917"/>
    <w:rsid w:val="00C96DA1"/>
    <w:rsid w:val="00C97581"/>
    <w:rsid w:val="00C97AF7"/>
    <w:rsid w:val="00CA2D84"/>
    <w:rsid w:val="00CA6F7D"/>
    <w:rsid w:val="00CA7EF3"/>
    <w:rsid w:val="00CB24BE"/>
    <w:rsid w:val="00CB2DE2"/>
    <w:rsid w:val="00CC20DD"/>
    <w:rsid w:val="00CC37CF"/>
    <w:rsid w:val="00CC529A"/>
    <w:rsid w:val="00CD31F1"/>
    <w:rsid w:val="00CE0D1D"/>
    <w:rsid w:val="00CE24F6"/>
    <w:rsid w:val="00CF0E87"/>
    <w:rsid w:val="00CF11AF"/>
    <w:rsid w:val="00CF3375"/>
    <w:rsid w:val="00CF41D7"/>
    <w:rsid w:val="00CF4F0B"/>
    <w:rsid w:val="00CF7DBC"/>
    <w:rsid w:val="00D03F8F"/>
    <w:rsid w:val="00D05EAD"/>
    <w:rsid w:val="00D1550A"/>
    <w:rsid w:val="00D17E31"/>
    <w:rsid w:val="00D25221"/>
    <w:rsid w:val="00D25A6A"/>
    <w:rsid w:val="00D35B9E"/>
    <w:rsid w:val="00D36538"/>
    <w:rsid w:val="00D3694E"/>
    <w:rsid w:val="00D36B6B"/>
    <w:rsid w:val="00D36F77"/>
    <w:rsid w:val="00D44B4E"/>
    <w:rsid w:val="00D51CB2"/>
    <w:rsid w:val="00D545AE"/>
    <w:rsid w:val="00D54EBB"/>
    <w:rsid w:val="00D57A08"/>
    <w:rsid w:val="00D6445D"/>
    <w:rsid w:val="00D64761"/>
    <w:rsid w:val="00D72623"/>
    <w:rsid w:val="00D75E98"/>
    <w:rsid w:val="00D77CF7"/>
    <w:rsid w:val="00D82770"/>
    <w:rsid w:val="00D835A3"/>
    <w:rsid w:val="00D879EF"/>
    <w:rsid w:val="00D91628"/>
    <w:rsid w:val="00D94663"/>
    <w:rsid w:val="00D9553B"/>
    <w:rsid w:val="00D95698"/>
    <w:rsid w:val="00DA07F5"/>
    <w:rsid w:val="00DA708A"/>
    <w:rsid w:val="00DA77B8"/>
    <w:rsid w:val="00DB3BF5"/>
    <w:rsid w:val="00DB49DC"/>
    <w:rsid w:val="00DB72ED"/>
    <w:rsid w:val="00DC0570"/>
    <w:rsid w:val="00DC3A7F"/>
    <w:rsid w:val="00DC592F"/>
    <w:rsid w:val="00DC59AE"/>
    <w:rsid w:val="00DD00C4"/>
    <w:rsid w:val="00DD1144"/>
    <w:rsid w:val="00DD47F3"/>
    <w:rsid w:val="00DD5558"/>
    <w:rsid w:val="00DE3556"/>
    <w:rsid w:val="00DE6CAB"/>
    <w:rsid w:val="00DF16EF"/>
    <w:rsid w:val="00DF5CAE"/>
    <w:rsid w:val="00DF6779"/>
    <w:rsid w:val="00DF7FD2"/>
    <w:rsid w:val="00E00735"/>
    <w:rsid w:val="00E03533"/>
    <w:rsid w:val="00E10768"/>
    <w:rsid w:val="00E10C56"/>
    <w:rsid w:val="00E11B56"/>
    <w:rsid w:val="00E11BC1"/>
    <w:rsid w:val="00E1261F"/>
    <w:rsid w:val="00E145FE"/>
    <w:rsid w:val="00E16EB0"/>
    <w:rsid w:val="00E213DD"/>
    <w:rsid w:val="00E21835"/>
    <w:rsid w:val="00E218E2"/>
    <w:rsid w:val="00E22C22"/>
    <w:rsid w:val="00E25604"/>
    <w:rsid w:val="00E32E3B"/>
    <w:rsid w:val="00E35806"/>
    <w:rsid w:val="00E42A0C"/>
    <w:rsid w:val="00E4396A"/>
    <w:rsid w:val="00E459FD"/>
    <w:rsid w:val="00E463CA"/>
    <w:rsid w:val="00E50422"/>
    <w:rsid w:val="00E505A0"/>
    <w:rsid w:val="00E52941"/>
    <w:rsid w:val="00E543F9"/>
    <w:rsid w:val="00E54539"/>
    <w:rsid w:val="00E571AF"/>
    <w:rsid w:val="00E62CCE"/>
    <w:rsid w:val="00E63ED2"/>
    <w:rsid w:val="00E70908"/>
    <w:rsid w:val="00E74AE7"/>
    <w:rsid w:val="00E7644B"/>
    <w:rsid w:val="00E7762C"/>
    <w:rsid w:val="00E80997"/>
    <w:rsid w:val="00E8120D"/>
    <w:rsid w:val="00E90AF0"/>
    <w:rsid w:val="00E947FE"/>
    <w:rsid w:val="00E97B73"/>
    <w:rsid w:val="00EA0478"/>
    <w:rsid w:val="00EA2210"/>
    <w:rsid w:val="00EA2F46"/>
    <w:rsid w:val="00EA63BB"/>
    <w:rsid w:val="00EA6483"/>
    <w:rsid w:val="00EB0586"/>
    <w:rsid w:val="00EB19D4"/>
    <w:rsid w:val="00EB2008"/>
    <w:rsid w:val="00EB3331"/>
    <w:rsid w:val="00EB3CA0"/>
    <w:rsid w:val="00EC7E2C"/>
    <w:rsid w:val="00ED0DF5"/>
    <w:rsid w:val="00ED6961"/>
    <w:rsid w:val="00EE0767"/>
    <w:rsid w:val="00EE7E3E"/>
    <w:rsid w:val="00EF1F66"/>
    <w:rsid w:val="00EF24BB"/>
    <w:rsid w:val="00EF3144"/>
    <w:rsid w:val="00EF71C2"/>
    <w:rsid w:val="00EF79E2"/>
    <w:rsid w:val="00F026E3"/>
    <w:rsid w:val="00F041E5"/>
    <w:rsid w:val="00F10D21"/>
    <w:rsid w:val="00F111AC"/>
    <w:rsid w:val="00F11424"/>
    <w:rsid w:val="00F15408"/>
    <w:rsid w:val="00F2009C"/>
    <w:rsid w:val="00F2051B"/>
    <w:rsid w:val="00F22E98"/>
    <w:rsid w:val="00F23882"/>
    <w:rsid w:val="00F30349"/>
    <w:rsid w:val="00F34E8B"/>
    <w:rsid w:val="00F44394"/>
    <w:rsid w:val="00F45372"/>
    <w:rsid w:val="00F5449F"/>
    <w:rsid w:val="00F55E6D"/>
    <w:rsid w:val="00F56796"/>
    <w:rsid w:val="00F64497"/>
    <w:rsid w:val="00F65484"/>
    <w:rsid w:val="00F70DC2"/>
    <w:rsid w:val="00F72C1C"/>
    <w:rsid w:val="00F750F8"/>
    <w:rsid w:val="00F82DE1"/>
    <w:rsid w:val="00F82EA1"/>
    <w:rsid w:val="00F83816"/>
    <w:rsid w:val="00F859FE"/>
    <w:rsid w:val="00F85CB0"/>
    <w:rsid w:val="00F862AA"/>
    <w:rsid w:val="00F912A4"/>
    <w:rsid w:val="00FA237D"/>
    <w:rsid w:val="00FA5E05"/>
    <w:rsid w:val="00FA73D2"/>
    <w:rsid w:val="00FA7511"/>
    <w:rsid w:val="00FB2039"/>
    <w:rsid w:val="00FB22D7"/>
    <w:rsid w:val="00FB239C"/>
    <w:rsid w:val="00FB36B6"/>
    <w:rsid w:val="00FB4F42"/>
    <w:rsid w:val="00FC143E"/>
    <w:rsid w:val="00FD18F8"/>
    <w:rsid w:val="00FD4398"/>
    <w:rsid w:val="00FD7BA1"/>
    <w:rsid w:val="00FE29B0"/>
    <w:rsid w:val="00FE3E21"/>
    <w:rsid w:val="00FE5287"/>
    <w:rsid w:val="00FE679F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CE64-D340-4C79-A9F7-20D3E5D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2020-03-25T21:05:00Z</dcterms:created>
  <dcterms:modified xsi:type="dcterms:W3CDTF">2020-03-25T21:06:00Z</dcterms:modified>
</cp:coreProperties>
</file>