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97" w:rsidRPr="00206A2E" w:rsidRDefault="00CB65D8">
      <w:pPr>
        <w:rPr>
          <w:b/>
          <w:sz w:val="24"/>
          <w:szCs w:val="24"/>
        </w:rPr>
      </w:pPr>
      <w:r w:rsidRPr="00206A2E">
        <w:rPr>
          <w:sz w:val="24"/>
          <w:szCs w:val="24"/>
        </w:rPr>
        <w:t xml:space="preserve">Navržený postup při studiu tématu </w:t>
      </w:r>
      <w:r w:rsidRPr="00206A2E">
        <w:rPr>
          <w:b/>
          <w:sz w:val="24"/>
          <w:szCs w:val="24"/>
        </w:rPr>
        <w:t>Vývoj vztahu společnosti k lidem s postižením</w:t>
      </w:r>
    </w:p>
    <w:p w:rsidR="00474ED3" w:rsidRDefault="00CB65D8">
      <w:pPr>
        <w:rPr>
          <w:rFonts w:cs="Arial"/>
          <w:sz w:val="24"/>
          <w:szCs w:val="24"/>
          <w:shd w:val="clear" w:color="auto" w:fill="FFFFFF"/>
        </w:rPr>
      </w:pPr>
      <w:r w:rsidRPr="00206A2E">
        <w:rPr>
          <w:sz w:val="24"/>
          <w:szCs w:val="24"/>
        </w:rPr>
        <w:t xml:space="preserve">1. Pročtěte si kapitolu ze skripta </w:t>
      </w:r>
      <w:r w:rsidRPr="00206A2E">
        <w:rPr>
          <w:rFonts w:cs="Arial"/>
          <w:sz w:val="24"/>
          <w:szCs w:val="24"/>
          <w:shd w:val="clear" w:color="auto" w:fill="FFFFFF"/>
        </w:rPr>
        <w:t>Jeřábková a kol. 2013. Lidé se zdravotním postižením – historické aspekty. Olomouc: UP</w:t>
      </w:r>
      <w:r w:rsidR="00A96131">
        <w:rPr>
          <w:rFonts w:cs="Arial"/>
          <w:sz w:val="24"/>
          <w:szCs w:val="24"/>
          <w:shd w:val="clear" w:color="auto" w:fill="FFFFFF"/>
        </w:rPr>
        <w:t xml:space="preserve">. </w:t>
      </w:r>
      <w:r w:rsidR="00474ED3">
        <w:rPr>
          <w:rFonts w:cs="Arial"/>
          <w:sz w:val="24"/>
          <w:szCs w:val="24"/>
          <w:shd w:val="clear" w:color="auto" w:fill="FFFFFF"/>
        </w:rPr>
        <w:t>(viz studijní materiály</w:t>
      </w:r>
      <w:r w:rsidR="00474ED3">
        <w:rPr>
          <w:rFonts w:cs="Arial"/>
          <w:sz w:val="24"/>
          <w:szCs w:val="24"/>
          <w:shd w:val="clear" w:color="auto" w:fill="FFFFFF"/>
        </w:rPr>
        <w:t xml:space="preserve"> </w:t>
      </w:r>
      <w:r w:rsidR="00474ED3" w:rsidRPr="00474ED3">
        <w:rPr>
          <w:rFonts w:cs="Arial"/>
          <w:b/>
          <w:sz w:val="24"/>
          <w:szCs w:val="24"/>
          <w:shd w:val="clear" w:color="auto" w:fill="FFFFFF"/>
        </w:rPr>
        <w:t>reflexe periodizace vztahu společnosti</w:t>
      </w:r>
      <w:r w:rsidR="00474ED3">
        <w:rPr>
          <w:rFonts w:cs="Arial"/>
          <w:sz w:val="24"/>
          <w:szCs w:val="24"/>
          <w:shd w:val="clear" w:color="auto" w:fill="FFFFFF"/>
        </w:rPr>
        <w:t>)</w:t>
      </w:r>
    </w:p>
    <w:p w:rsidR="00CB65D8" w:rsidRPr="00474ED3" w:rsidRDefault="00474ED3">
      <w:pPr>
        <w:rPr>
          <w:rFonts w:cs="Arial"/>
          <w:color w:val="4F6228" w:themeColor="accent3" w:themeShade="80"/>
          <w:sz w:val="24"/>
          <w:szCs w:val="24"/>
          <w:shd w:val="clear" w:color="auto" w:fill="FFFFFF"/>
        </w:rPr>
      </w:pPr>
      <w:r w:rsidRPr="00474ED3">
        <w:rPr>
          <w:rFonts w:cs="Arial"/>
          <w:color w:val="4F6228" w:themeColor="accent3" w:themeShade="80"/>
          <w:sz w:val="24"/>
          <w:szCs w:val="24"/>
          <w:shd w:val="clear" w:color="auto" w:fill="FFFFFF"/>
        </w:rPr>
        <w:t xml:space="preserve">2. Pročtěte si kapitolu od dr. Tomalové </w:t>
      </w:r>
      <w:r w:rsidRPr="00474ED3">
        <w:rPr>
          <w:rFonts w:cs="Arial"/>
          <w:b/>
          <w:color w:val="4F6228" w:themeColor="accent3" w:themeShade="80"/>
          <w:sz w:val="24"/>
          <w:szCs w:val="24"/>
          <w:shd w:val="clear" w:color="auto" w:fill="FFFFFF"/>
        </w:rPr>
        <w:t>Historie speciální pedagogiky</w:t>
      </w:r>
      <w:r w:rsidRPr="00474ED3">
        <w:rPr>
          <w:rFonts w:cs="Arial"/>
          <w:color w:val="4F6228" w:themeColor="accent3" w:themeShade="80"/>
          <w:sz w:val="24"/>
          <w:szCs w:val="24"/>
          <w:shd w:val="clear" w:color="auto" w:fill="FFFFFF"/>
        </w:rPr>
        <w:t xml:space="preserve"> (viz studijní materiály)</w:t>
      </w:r>
    </w:p>
    <w:p w:rsidR="00474ED3" w:rsidRDefault="00474ED3">
      <w:pPr>
        <w:rPr>
          <w:rFonts w:cs="Arial"/>
          <w:color w:val="4F6228" w:themeColor="accent3" w:themeShade="80"/>
          <w:sz w:val="24"/>
          <w:szCs w:val="24"/>
          <w:shd w:val="clear" w:color="auto" w:fill="FFFFFF"/>
        </w:rPr>
      </w:pPr>
      <w:r w:rsidRPr="00474ED3">
        <w:rPr>
          <w:rFonts w:cs="Arial"/>
          <w:color w:val="4F6228" w:themeColor="accent3" w:themeShade="80"/>
          <w:sz w:val="24"/>
          <w:szCs w:val="24"/>
          <w:shd w:val="clear" w:color="auto" w:fill="FFFFFF"/>
        </w:rPr>
        <w:t xml:space="preserve">3. Pročtěte si kapitolu od prof. Michalíka </w:t>
      </w:r>
      <w:r w:rsidRPr="00474ED3">
        <w:rPr>
          <w:rFonts w:cs="Arial"/>
          <w:b/>
          <w:color w:val="4F6228" w:themeColor="accent3" w:themeShade="80"/>
          <w:sz w:val="24"/>
          <w:szCs w:val="24"/>
          <w:shd w:val="clear" w:color="auto" w:fill="FFFFFF"/>
        </w:rPr>
        <w:t xml:space="preserve">Postavení ve společnosti úvod do SP </w:t>
      </w:r>
      <w:r w:rsidRPr="00474ED3">
        <w:rPr>
          <w:rFonts w:cs="Arial"/>
          <w:color w:val="4F6228" w:themeColor="accent3" w:themeShade="80"/>
          <w:sz w:val="24"/>
          <w:szCs w:val="24"/>
          <w:shd w:val="clear" w:color="auto" w:fill="FFFFFF"/>
        </w:rPr>
        <w:t>(viz studijní materiály)</w:t>
      </w:r>
    </w:p>
    <w:p w:rsidR="00474ED3" w:rsidRPr="00474ED3" w:rsidRDefault="00474ED3">
      <w:pPr>
        <w:rPr>
          <w:rFonts w:cs="Arial"/>
          <w:b/>
          <w:color w:val="4F6228" w:themeColor="accent3" w:themeShade="80"/>
          <w:sz w:val="24"/>
          <w:szCs w:val="24"/>
          <w:shd w:val="clear" w:color="auto" w:fill="FFFFFF"/>
        </w:rPr>
      </w:pPr>
      <w:r>
        <w:rPr>
          <w:rFonts w:cs="Arial"/>
          <w:color w:val="4F6228" w:themeColor="accent3" w:themeShade="80"/>
          <w:sz w:val="24"/>
          <w:szCs w:val="24"/>
          <w:shd w:val="clear" w:color="auto" w:fill="FFFFFF"/>
        </w:rPr>
        <w:t>(</w:t>
      </w:r>
      <w:r w:rsidR="00727E4A">
        <w:rPr>
          <w:rFonts w:cs="Arial"/>
          <w:color w:val="4F6228" w:themeColor="accent3" w:themeShade="80"/>
          <w:sz w:val="24"/>
          <w:szCs w:val="24"/>
          <w:shd w:val="clear" w:color="auto" w:fill="FFFFFF"/>
        </w:rPr>
        <w:t xml:space="preserve">2. + 3. </w:t>
      </w:r>
      <w:bookmarkStart w:id="0" w:name="_GoBack"/>
      <w:bookmarkEnd w:id="0"/>
      <w:r>
        <w:rPr>
          <w:rFonts w:cs="Arial"/>
          <w:color w:val="4F6228" w:themeColor="accent3" w:themeShade="80"/>
          <w:sz w:val="24"/>
          <w:szCs w:val="24"/>
          <w:shd w:val="clear" w:color="auto" w:fill="FFFFFF"/>
        </w:rPr>
        <w:t>pro zájemce, tj. dobrovolné)</w:t>
      </w:r>
    </w:p>
    <w:p w:rsidR="00CB65D8" w:rsidRPr="00206A2E" w:rsidRDefault="00474ED3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4</w:t>
      </w:r>
      <w:r w:rsidR="00CB65D8" w:rsidRPr="00206A2E">
        <w:rPr>
          <w:rFonts w:cs="Arial"/>
          <w:sz w:val="24"/>
          <w:szCs w:val="24"/>
          <w:shd w:val="clear" w:color="auto" w:fill="FFFFFF"/>
        </w:rPr>
        <w:t>. Po přečtení byste měli být schopni:</w:t>
      </w:r>
    </w:p>
    <w:p w:rsidR="00CB65D8" w:rsidRPr="00206A2E" w:rsidRDefault="00CB65D8" w:rsidP="00CB65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vyjmenovat a vysvětlit jednotlivá stádia Sovákovy periodizace vztahu společnosti k lidem s postižením, tak jak byla popsána prof. Sovákem</w:t>
      </w:r>
      <w:r w:rsidR="00474ED3">
        <w:rPr>
          <w:sz w:val="24"/>
          <w:szCs w:val="24"/>
        </w:rPr>
        <w:t xml:space="preserve"> (</w:t>
      </w:r>
      <w:r w:rsidR="00474ED3" w:rsidRPr="00474ED3">
        <w:rPr>
          <w:sz w:val="24"/>
          <w:szCs w:val="24"/>
          <w:u w:val="single"/>
        </w:rPr>
        <w:t>7 stádií</w:t>
      </w:r>
      <w:r w:rsidR="00474ED3" w:rsidRPr="00474ED3">
        <w:rPr>
          <w:sz w:val="24"/>
          <w:szCs w:val="24"/>
        </w:rPr>
        <w:t>)</w:t>
      </w:r>
    </w:p>
    <w:p w:rsidR="00CB65D8" w:rsidRPr="00206A2E" w:rsidRDefault="00CB65D8" w:rsidP="00CB65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vyvodit, jakým dojmem na čtenáře působí Sovákův popis jednotlivých stádií</w:t>
      </w:r>
    </w:p>
    <w:p w:rsidR="00CB65D8" w:rsidRPr="00206A2E" w:rsidRDefault="00CB65D8" w:rsidP="00CB65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shrnout a blíže analyzovat jednotlivé výhrady k periodizaci, konkrétně:</w:t>
      </w:r>
    </w:p>
    <w:p w:rsidR="00D93F24" w:rsidRPr="00206A2E" w:rsidRDefault="00D667CA" w:rsidP="00D93F2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 xml:space="preserve">vysvětlit a na příkladu alespoň jednoho stádia ukázat, že prof. Sovák poznatky o daném </w:t>
      </w:r>
      <w:r w:rsidRPr="00206A2E">
        <w:rPr>
          <w:b/>
          <w:sz w:val="24"/>
          <w:szCs w:val="24"/>
        </w:rPr>
        <w:t>období příliš generalizoval</w:t>
      </w:r>
      <w:r w:rsidR="00D93F24" w:rsidRPr="00206A2E">
        <w:rPr>
          <w:sz w:val="24"/>
          <w:szCs w:val="24"/>
        </w:rPr>
        <w:t xml:space="preserve"> a přehlížel příklady, které odporovaly jeho pojetí daného stádia</w:t>
      </w:r>
      <w:r w:rsidR="00206A2E" w:rsidRPr="00206A2E">
        <w:rPr>
          <w:sz w:val="24"/>
          <w:szCs w:val="24"/>
        </w:rPr>
        <w:t xml:space="preserve"> a </w:t>
      </w:r>
      <w:r w:rsidR="00206A2E" w:rsidRPr="00206A2E">
        <w:rPr>
          <w:b/>
          <w:sz w:val="24"/>
          <w:szCs w:val="24"/>
        </w:rPr>
        <w:t>reflektovat</w:t>
      </w:r>
      <w:r w:rsidR="00206A2E" w:rsidRPr="00206A2E">
        <w:rPr>
          <w:sz w:val="24"/>
          <w:szCs w:val="24"/>
        </w:rPr>
        <w:t xml:space="preserve"> dojem, že vztah společnosti k lidem s postižením </w:t>
      </w:r>
      <w:r w:rsidR="00206A2E" w:rsidRPr="00206A2E">
        <w:rPr>
          <w:b/>
          <w:sz w:val="24"/>
          <w:szCs w:val="24"/>
        </w:rPr>
        <w:t>jde od nejhoršího k nejlepšímu</w:t>
      </w:r>
    </w:p>
    <w:p w:rsidR="00D93F24" w:rsidRPr="00206A2E" w:rsidRDefault="00D93F24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 xml:space="preserve">např. období represivní – existují důkazy, že lidé s postižením byli v pravěku součástí společnosti a přežívali do dospělého příp. pokročilého věku (více viz </w:t>
      </w:r>
      <w:r w:rsidRPr="00206A2E">
        <w:rPr>
          <w:rFonts w:eastAsia="Calibri" w:cs="Times New Roman"/>
          <w:sz w:val="24"/>
          <w:szCs w:val="24"/>
        </w:rPr>
        <w:t xml:space="preserve">TITZL, B. </w:t>
      </w:r>
      <w:r w:rsidRPr="00206A2E">
        <w:rPr>
          <w:rFonts w:eastAsia="Calibri" w:cs="Times New Roman"/>
          <w:i/>
          <w:sz w:val="24"/>
          <w:szCs w:val="24"/>
        </w:rPr>
        <w:t>Postižený člověk ve společnosti</w:t>
      </w:r>
      <w:r w:rsidRPr="00206A2E">
        <w:rPr>
          <w:rFonts w:eastAsia="Calibri" w:cs="Times New Roman"/>
          <w:sz w:val="24"/>
          <w:szCs w:val="24"/>
        </w:rPr>
        <w:t>. Praha: UK, 1998.</w:t>
      </w:r>
      <w:r w:rsidRPr="00206A2E">
        <w:rPr>
          <w:rFonts w:cs="Times New Roman"/>
          <w:sz w:val="24"/>
          <w:szCs w:val="24"/>
        </w:rPr>
        <w:t xml:space="preserve"> ISBN 86039-30-7.</w:t>
      </w:r>
      <w:r w:rsidR="009427CC" w:rsidRPr="00206A2E">
        <w:rPr>
          <w:rFonts w:cs="Times New Roman"/>
          <w:sz w:val="24"/>
          <w:szCs w:val="24"/>
        </w:rPr>
        <w:t xml:space="preserve"> –</w:t>
      </w:r>
      <w:r w:rsidR="00A96131">
        <w:rPr>
          <w:rFonts w:cs="Times New Roman"/>
          <w:sz w:val="24"/>
          <w:szCs w:val="24"/>
        </w:rPr>
        <w:t xml:space="preserve"> lze</w:t>
      </w:r>
      <w:r w:rsidR="009427CC" w:rsidRPr="00206A2E">
        <w:rPr>
          <w:rFonts w:cs="Times New Roman"/>
          <w:sz w:val="24"/>
          <w:szCs w:val="24"/>
        </w:rPr>
        <w:t xml:space="preserve"> stáhnout na ulozto.cz</w:t>
      </w:r>
      <w:r w:rsidRPr="00206A2E">
        <w:rPr>
          <w:rFonts w:cs="Times New Roman"/>
          <w:sz w:val="24"/>
          <w:szCs w:val="24"/>
        </w:rPr>
        <w:t>)</w:t>
      </w:r>
    </w:p>
    <w:p w:rsidR="00792698" w:rsidRPr="00206A2E" w:rsidRDefault="00D93F24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naopak represe – různé formy vylučování osob s postižením provázejí lidstvo po celou historii až do současnosti, např. odkládání dětí (i bez postižení) od doby Antiky a až do současnosti do sirotčinců, dětských domovů či ústavů sociální péče</w:t>
      </w:r>
      <w:r w:rsidR="00792698" w:rsidRPr="00206A2E">
        <w:rPr>
          <w:sz w:val="24"/>
          <w:szCs w:val="24"/>
        </w:rPr>
        <w:t xml:space="preserve"> (dále jen USP)</w:t>
      </w:r>
    </w:p>
    <w:p w:rsidR="00D93F24" w:rsidRPr="00206A2E" w:rsidRDefault="00FC1AF5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extrémním příkladem represe</w:t>
      </w:r>
      <w:r w:rsidR="00A96131">
        <w:rPr>
          <w:sz w:val="24"/>
          <w:szCs w:val="24"/>
        </w:rPr>
        <w:t xml:space="preserve"> z 20. st.</w:t>
      </w:r>
      <w:r w:rsidRPr="00206A2E">
        <w:rPr>
          <w:sz w:val="24"/>
          <w:szCs w:val="24"/>
        </w:rPr>
        <w:t xml:space="preserve"> je pak Holokaust postižených (viz odkaz ve studijních materiálech „Informace k holokaustu postižených“), nebo v 2. polovině 20. st. plošné odkládání dětí s těžkým postižením (mentálním a kombinovaným) do ústavů sociální péče </w:t>
      </w:r>
      <w:r w:rsidR="00792698" w:rsidRPr="00206A2E">
        <w:rPr>
          <w:sz w:val="24"/>
          <w:szCs w:val="24"/>
        </w:rPr>
        <w:t>(viz video ke změně praxe v USP po roce 1989)</w:t>
      </w:r>
    </w:p>
    <w:p w:rsidR="00792698" w:rsidRPr="00206A2E" w:rsidRDefault="00792698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současný vztah některých lidí k lidem s postižením je dobře ilustrován ve videu k situaci ve Svitávce (viz studijní materiál)</w:t>
      </w:r>
    </w:p>
    <w:p w:rsidR="00792698" w:rsidRPr="00206A2E" w:rsidRDefault="00792698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i v současnosti je represe legální formou řešení rizika</w:t>
      </w:r>
      <w:r w:rsidR="00064278" w:rsidRPr="00206A2E">
        <w:rPr>
          <w:sz w:val="24"/>
          <w:szCs w:val="24"/>
        </w:rPr>
        <w:t>, které pro společnost znamenají</w:t>
      </w:r>
      <w:r w:rsidRPr="00206A2E">
        <w:rPr>
          <w:sz w:val="24"/>
          <w:szCs w:val="24"/>
        </w:rPr>
        <w:t xml:space="preserve"> dospělí lidé s</w:t>
      </w:r>
      <w:r w:rsidR="00064278" w:rsidRPr="00206A2E">
        <w:rPr>
          <w:sz w:val="24"/>
          <w:szCs w:val="24"/>
        </w:rPr>
        <w:t>e závažnou</w:t>
      </w:r>
      <w:r w:rsidRPr="00206A2E">
        <w:rPr>
          <w:sz w:val="24"/>
          <w:szCs w:val="24"/>
        </w:rPr>
        <w:t xml:space="preserve"> poruchou chování </w:t>
      </w:r>
      <w:r w:rsidR="00064278" w:rsidRPr="00206A2E">
        <w:rPr>
          <w:sz w:val="24"/>
          <w:szCs w:val="24"/>
        </w:rPr>
        <w:t xml:space="preserve">páchající trestné činy </w:t>
      </w:r>
      <w:r w:rsidRPr="00206A2E">
        <w:rPr>
          <w:sz w:val="24"/>
          <w:szCs w:val="24"/>
        </w:rPr>
        <w:t xml:space="preserve">(vězení), příp. mladiství se závažnou poruchou chování (dětské domovy se školou, výchovné ústavy apod.) </w:t>
      </w:r>
    </w:p>
    <w:p w:rsidR="00064278" w:rsidRPr="00206A2E" w:rsidRDefault="00A96131" w:rsidP="00D93F2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nebo např.</w:t>
      </w:r>
      <w:r w:rsidR="00064278" w:rsidRPr="00206A2E">
        <w:rPr>
          <w:sz w:val="24"/>
          <w:szCs w:val="24"/>
        </w:rPr>
        <w:t xml:space="preserve"> stádium charitativní – prof. Sovák zcela pominul čarodějnické procesy, probíhající zejména ve středověku a jejichž </w:t>
      </w:r>
      <w:r w:rsidR="00064278" w:rsidRPr="00206A2E">
        <w:rPr>
          <w:sz w:val="24"/>
          <w:szCs w:val="24"/>
        </w:rPr>
        <w:lastRenderedPageBreak/>
        <w:t xml:space="preserve">častými obětmi byli lidé s postižením, příp. matky dětí, které se narodily viditelně postižené apod. </w:t>
      </w:r>
    </w:p>
    <w:p w:rsidR="009427CC" w:rsidRDefault="00206A2E" w:rsidP="009427C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206A2E">
        <w:rPr>
          <w:sz w:val="24"/>
          <w:szCs w:val="24"/>
        </w:rPr>
        <w:t>vysvětlit Michalíkovo pojetí „horizontálního“ hodnocení vztahu společnosti k lidem s</w:t>
      </w:r>
      <w:r>
        <w:rPr>
          <w:sz w:val="24"/>
          <w:szCs w:val="24"/>
        </w:rPr>
        <w:t> </w:t>
      </w:r>
      <w:r w:rsidRPr="00206A2E">
        <w:rPr>
          <w:sz w:val="24"/>
          <w:szCs w:val="24"/>
        </w:rPr>
        <w:t>postižením</w:t>
      </w:r>
    </w:p>
    <w:p w:rsidR="00206A2E" w:rsidRDefault="00206A2E" w:rsidP="009427C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demonstrovat na příkladu lidí z vyšší třídy, že vždy existovaly vymykající </w:t>
      </w:r>
      <w:r w:rsidR="00A96131">
        <w:rPr>
          <w:sz w:val="24"/>
          <w:szCs w:val="24"/>
        </w:rPr>
        <w:t xml:space="preserve">se </w:t>
      </w:r>
      <w:r>
        <w:rPr>
          <w:sz w:val="24"/>
          <w:szCs w:val="24"/>
        </w:rPr>
        <w:t>skupiny</w:t>
      </w:r>
    </w:p>
    <w:p w:rsidR="00206A2E" w:rsidRDefault="00474ED3" w:rsidP="00206A2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206A2E">
        <w:rPr>
          <w:sz w:val="24"/>
          <w:szCs w:val="24"/>
        </w:rPr>
        <w:t>. V průběhu studia se podívejte na vložené odkazy.</w:t>
      </w:r>
    </w:p>
    <w:p w:rsidR="00206A2E" w:rsidRDefault="00206A2E" w:rsidP="00206A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 Holokaustu postižených </w:t>
      </w:r>
      <w:r w:rsidR="00474ED3">
        <w:rPr>
          <w:sz w:val="24"/>
          <w:szCs w:val="24"/>
        </w:rPr>
        <w:t>(wikiskripta)</w:t>
      </w:r>
    </w:p>
    <w:p w:rsidR="00206A2E" w:rsidRDefault="00206A2E" w:rsidP="00206A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 proměně v ústavech sociální péče po roce 1989 (video)</w:t>
      </w:r>
    </w:p>
    <w:p w:rsidR="00206A2E" w:rsidRPr="00206A2E" w:rsidRDefault="00206A2E" w:rsidP="00206A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 možnému současnému postoji k spolužití s lidmi s postižením – video Svitávka</w:t>
      </w:r>
    </w:p>
    <w:p w:rsidR="009427CC" w:rsidRPr="00206A2E" w:rsidRDefault="009427CC" w:rsidP="009427CC">
      <w:pPr>
        <w:rPr>
          <w:sz w:val="24"/>
          <w:szCs w:val="24"/>
        </w:rPr>
      </w:pPr>
    </w:p>
    <w:p w:rsidR="00D93F24" w:rsidRDefault="00474ED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206A2E">
        <w:rPr>
          <w:sz w:val="24"/>
          <w:szCs w:val="24"/>
        </w:rPr>
        <w:t>. Zkuste odpovědět na otázky vložené na konci kapitoly</w:t>
      </w:r>
      <w:r>
        <w:rPr>
          <w:sz w:val="24"/>
          <w:szCs w:val="24"/>
        </w:rPr>
        <w:t xml:space="preserve"> </w:t>
      </w:r>
      <w:r w:rsidRPr="00474ED3">
        <w:rPr>
          <w:rFonts w:cs="Arial"/>
          <w:b/>
          <w:sz w:val="24"/>
          <w:szCs w:val="24"/>
          <w:shd w:val="clear" w:color="auto" w:fill="FFFFFF"/>
        </w:rPr>
        <w:t>reflexe periodizace vztahu společnosti</w:t>
      </w:r>
      <w:r w:rsidR="00206A2E">
        <w:rPr>
          <w:sz w:val="24"/>
          <w:szCs w:val="24"/>
        </w:rPr>
        <w:t>.</w:t>
      </w:r>
    </w:p>
    <w:p w:rsidR="00206A2E" w:rsidRDefault="00474ED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06A2E">
        <w:rPr>
          <w:sz w:val="24"/>
          <w:szCs w:val="24"/>
        </w:rPr>
        <w:t xml:space="preserve">. </w:t>
      </w:r>
      <w:r w:rsidR="00F02BA3">
        <w:rPr>
          <w:sz w:val="24"/>
          <w:szCs w:val="24"/>
        </w:rPr>
        <w:t>Zkuste online test</w:t>
      </w:r>
      <w:r w:rsidR="00DA1066">
        <w:rPr>
          <w:sz w:val="24"/>
          <w:szCs w:val="24"/>
        </w:rPr>
        <w:t>ík</w:t>
      </w:r>
      <w:r w:rsidR="00F02BA3">
        <w:rPr>
          <w:sz w:val="24"/>
          <w:szCs w:val="24"/>
        </w:rPr>
        <w:t xml:space="preserve">. </w:t>
      </w:r>
    </w:p>
    <w:p w:rsidR="00474ED3" w:rsidRPr="00206A2E" w:rsidRDefault="00474ED3">
      <w:pPr>
        <w:rPr>
          <w:sz w:val="24"/>
          <w:szCs w:val="24"/>
        </w:rPr>
      </w:pPr>
      <w:r>
        <w:rPr>
          <w:sz w:val="24"/>
          <w:szCs w:val="24"/>
        </w:rPr>
        <w:t xml:space="preserve">7. K současné situaci ve vztahu společnosti k lidem s postižením si přečtěte kapitoly od prof. Michalíka: </w:t>
      </w:r>
      <w:r w:rsidRPr="00474ED3">
        <w:rPr>
          <w:b/>
          <w:sz w:val="24"/>
          <w:szCs w:val="24"/>
        </w:rPr>
        <w:t xml:space="preserve">postavení ve spolecnosti uvod do SP </w:t>
      </w:r>
      <w:r w:rsidRPr="00474ED3">
        <w:rPr>
          <w:sz w:val="24"/>
          <w:szCs w:val="24"/>
        </w:rPr>
        <w:t>a</w:t>
      </w:r>
      <w:r w:rsidRPr="00474ED3">
        <w:rPr>
          <w:b/>
          <w:sz w:val="24"/>
          <w:szCs w:val="24"/>
        </w:rPr>
        <w:t xml:space="preserve"> postaveni do spolecnosti teoretické základy SP</w:t>
      </w:r>
      <w:r>
        <w:rPr>
          <w:sz w:val="24"/>
          <w:szCs w:val="24"/>
        </w:rPr>
        <w:t xml:space="preserve"> (viz studijní materiály)</w:t>
      </w:r>
    </w:p>
    <w:sectPr w:rsidR="00474ED3" w:rsidRPr="0020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3FA"/>
    <w:multiLevelType w:val="hybridMultilevel"/>
    <w:tmpl w:val="405C6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C605C"/>
    <w:multiLevelType w:val="hybridMultilevel"/>
    <w:tmpl w:val="09488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B36C3"/>
    <w:multiLevelType w:val="hybridMultilevel"/>
    <w:tmpl w:val="29ECB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D8"/>
    <w:rsid w:val="00064278"/>
    <w:rsid w:val="00206A2E"/>
    <w:rsid w:val="00474ED3"/>
    <w:rsid w:val="00727E4A"/>
    <w:rsid w:val="00792698"/>
    <w:rsid w:val="009427CC"/>
    <w:rsid w:val="00A96131"/>
    <w:rsid w:val="00BB5797"/>
    <w:rsid w:val="00CB65D8"/>
    <w:rsid w:val="00D667CA"/>
    <w:rsid w:val="00D93F24"/>
    <w:rsid w:val="00DA1066"/>
    <w:rsid w:val="00F02BA3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5D8"/>
    <w:pPr>
      <w:ind w:left="720"/>
      <w:contextualSpacing/>
    </w:pPr>
  </w:style>
  <w:style w:type="paragraph" w:customStyle="1" w:styleId="Default">
    <w:name w:val="Default"/>
    <w:rsid w:val="00942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74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4E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E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E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5D8"/>
    <w:pPr>
      <w:ind w:left="720"/>
      <w:contextualSpacing/>
    </w:pPr>
  </w:style>
  <w:style w:type="paragraph" w:customStyle="1" w:styleId="Default">
    <w:name w:val="Default"/>
    <w:rsid w:val="00942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74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4E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E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E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8</cp:revision>
  <dcterms:created xsi:type="dcterms:W3CDTF">2020-03-19T10:17:00Z</dcterms:created>
  <dcterms:modified xsi:type="dcterms:W3CDTF">2020-03-23T08:39:00Z</dcterms:modified>
</cp:coreProperties>
</file>