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794AE" w14:textId="77777777" w:rsidR="0094484F" w:rsidRPr="00355FC2" w:rsidRDefault="0094484F" w:rsidP="0094484F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655FB9BD" w14:textId="77777777" w:rsidR="0094484F" w:rsidRDefault="0094484F" w:rsidP="0094484F">
      <w:pPr>
        <w:spacing w:after="0" w:line="360" w:lineRule="auto"/>
      </w:pPr>
    </w:p>
    <w:p w14:paraId="24658265" w14:textId="77777777" w:rsidR="0094484F" w:rsidRDefault="0094484F" w:rsidP="0094484F">
      <w:pPr>
        <w:spacing w:after="0" w:line="360" w:lineRule="auto"/>
      </w:pPr>
    </w:p>
    <w:p w14:paraId="65482465" w14:textId="77777777" w:rsidR="0094484F" w:rsidRPr="005526AE" w:rsidRDefault="0094484F" w:rsidP="0094484F">
      <w:pPr>
        <w:spacing w:after="0" w:line="240" w:lineRule="auto"/>
        <w:contextualSpacing w:val="0"/>
        <w:rPr>
          <w:rFonts w:eastAsia="Times New Roman" w:cs="Arial"/>
          <w:szCs w:val="20"/>
          <w:lang w:eastAsia="cs-CZ"/>
        </w:rPr>
      </w:pPr>
      <w:r w:rsidRPr="00355FC2">
        <w:rPr>
          <w:b/>
          <w:bCs/>
        </w:rPr>
        <w:t xml:space="preserve">Název předmětu SZZ: </w:t>
      </w:r>
      <w:r>
        <w:rPr>
          <w:rFonts w:eastAsia="Times New Roman" w:cs="Arial"/>
          <w:szCs w:val="20"/>
          <w:lang w:eastAsia="cs-CZ"/>
        </w:rPr>
        <w:t>Somatopedie</w:t>
      </w:r>
    </w:p>
    <w:p w14:paraId="1BA93061" w14:textId="77777777" w:rsidR="0094484F" w:rsidRDefault="0094484F" w:rsidP="0094484F">
      <w:pPr>
        <w:spacing w:after="0" w:line="360" w:lineRule="auto"/>
      </w:pPr>
    </w:p>
    <w:p w14:paraId="44B1AC1D" w14:textId="77777777" w:rsidR="0094484F" w:rsidRPr="0094484F" w:rsidRDefault="0094484F" w:rsidP="0094484F">
      <w:pPr>
        <w:spacing w:after="0" w:line="240" w:lineRule="auto"/>
        <w:contextualSpacing w:val="0"/>
        <w:rPr>
          <w:rFonts w:eastAsia="Times New Roman" w:cs="Arial"/>
          <w:i/>
          <w:iCs/>
          <w:szCs w:val="20"/>
          <w:lang w:eastAsia="cs-CZ"/>
        </w:rPr>
      </w:pPr>
      <w:r w:rsidRPr="00355FC2">
        <w:rPr>
          <w:b/>
          <w:bCs/>
        </w:rPr>
        <w:t xml:space="preserve">Zkratka předmětu SZZ: </w:t>
      </w:r>
      <w:r w:rsidRPr="0094484F">
        <w:rPr>
          <w:rFonts w:eastAsia="Times New Roman" w:cs="Arial"/>
          <w:szCs w:val="20"/>
          <w:lang w:eastAsia="cs-CZ"/>
        </w:rPr>
        <w:t>USS/SZZSO</w:t>
      </w:r>
    </w:p>
    <w:p w14:paraId="6F24BB2F" w14:textId="77777777" w:rsidR="0094484F" w:rsidRDefault="0094484F" w:rsidP="0094484F">
      <w:pPr>
        <w:spacing w:after="0" w:line="360" w:lineRule="auto"/>
      </w:pPr>
    </w:p>
    <w:p w14:paraId="6F2DF46E" w14:textId="77777777" w:rsidR="0094484F" w:rsidRPr="00355FC2" w:rsidRDefault="0094484F" w:rsidP="0094484F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510711A0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1D6BEF">
        <w:t>Somatopedie jako obor speciální pedagogiky</w:t>
      </w:r>
      <w:r>
        <w:t xml:space="preserve">, </w:t>
      </w:r>
      <w:r w:rsidRPr="001D6BEF">
        <w:t>Referenční pole somatopedie a mezioborové přesahy</w:t>
      </w:r>
      <w:r>
        <w:t>. Koncep</w:t>
      </w:r>
      <w:r w:rsidRPr="0094484F">
        <w:rPr>
          <w:rFonts w:cs="Arial"/>
          <w:szCs w:val="20"/>
        </w:rPr>
        <w:t>t EBP a jeho aplikace ve speciální pedagogice.</w:t>
      </w:r>
    </w:p>
    <w:p w14:paraId="173C1619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772870EE" w14:textId="77777777" w:rsidR="0094484F" w:rsidRPr="0094484F" w:rsidRDefault="0094484F" w:rsidP="009448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4484F">
        <w:rPr>
          <w:rFonts w:ascii="Arial" w:hAnsi="Arial" w:cs="Arial"/>
          <w:sz w:val="20"/>
          <w:szCs w:val="20"/>
        </w:rPr>
        <w:t xml:space="preserve">Terminologie a vymezení základních kategorií omezení hybnosti (tělesné postižení, kombinované postižení, onemocnění, zdravotní oslabení). </w:t>
      </w:r>
    </w:p>
    <w:p w14:paraId="65814EF9" w14:textId="77777777" w:rsidR="0094484F" w:rsidRPr="0094484F" w:rsidRDefault="0094484F" w:rsidP="0094484F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CBF91AE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Organizace a významné osobnosti ve vztahu k somatopedii s důrazem na současnost, historie péče o osoby s omezením hybnosti.</w:t>
      </w:r>
    </w:p>
    <w:p w14:paraId="4C449747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7E6C5B2D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Rehabilitace osob s omezením hybnosti: terminologie, legislativa (včetně klasifikací WHO), cíle, struktura, koncept funkční schopnosti, vývoj současného pojetí rehabilitace v ČR i v zahraničí.</w:t>
      </w:r>
    </w:p>
    <w:p w14:paraId="1DF2CC21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068DCE5B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Léčebná rehabilitace (rehabilitační tým a charakteristika nejdůležitějších zdravotnických profesí, legislativa a systém institucí).</w:t>
      </w:r>
    </w:p>
    <w:p w14:paraId="09322DA9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650E7380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Sociální a pracovní rehabilitace – legislativa, systém institucí, vymezení sociálních služeb, možnosti profesní přípravy a podpory při zaměstnávání.</w:t>
      </w:r>
    </w:p>
    <w:p w14:paraId="7671DDCC" w14:textId="77777777" w:rsidR="0094484F" w:rsidRPr="0094484F" w:rsidRDefault="0094484F" w:rsidP="0094484F">
      <w:pPr>
        <w:ind w:left="720"/>
        <w:rPr>
          <w:rFonts w:cs="Arial"/>
          <w:szCs w:val="20"/>
        </w:rPr>
      </w:pPr>
      <w:r w:rsidRPr="0094484F">
        <w:rPr>
          <w:rFonts w:cs="Arial"/>
          <w:szCs w:val="20"/>
        </w:rPr>
        <w:t xml:space="preserve"> </w:t>
      </w:r>
    </w:p>
    <w:p w14:paraId="0956D552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Žák/dítě se závažným a nevyléčitelným onemocněním, paliativní a hospicová péče, problematika bolesti.</w:t>
      </w:r>
    </w:p>
    <w:p w14:paraId="63426827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05A2974F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Rodina žáka s omezením hybnosti – specifika rodinného života, psychologická a sociální podpora a spolupráce učitele s rodinou.</w:t>
      </w:r>
    </w:p>
    <w:p w14:paraId="49935DD5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35838DB2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Tělesná a vícečetná postižení (terminologie a možnosti klasifikace, příklady nejčastějších tělesných postižení a onemocnění směrem k cílovým skupinám studijního oboru, příklady interdisciplinární intervence).</w:t>
      </w:r>
    </w:p>
    <w:p w14:paraId="12DFACED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29F9A99C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Onemocnění a zdravotní oslabení (terminologie a možnosti klasifikace, příklady nejčastějších tělesných postižení a onemocnění směrem k cílovým skupinám studijního oboru, příklady interdisciplinární intervence).</w:t>
      </w:r>
    </w:p>
    <w:p w14:paraId="69EC9146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338E0ED6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proofErr w:type="spellStart"/>
      <w:r w:rsidRPr="0094484F">
        <w:rPr>
          <w:rFonts w:cs="Arial"/>
          <w:szCs w:val="20"/>
        </w:rPr>
        <w:t>Asistivní</w:t>
      </w:r>
      <w:proofErr w:type="spellEnd"/>
      <w:r w:rsidRPr="0094484F">
        <w:rPr>
          <w:rFonts w:cs="Arial"/>
          <w:szCs w:val="20"/>
        </w:rPr>
        <w:t xml:space="preserve"> technologie – dělení a využití </w:t>
      </w:r>
      <w:proofErr w:type="spellStart"/>
      <w:r w:rsidRPr="0094484F">
        <w:rPr>
          <w:rFonts w:cs="Arial"/>
          <w:szCs w:val="20"/>
        </w:rPr>
        <w:t>asistivních</w:t>
      </w:r>
      <w:proofErr w:type="spellEnd"/>
      <w:r w:rsidRPr="0094484F">
        <w:rPr>
          <w:rFonts w:cs="Arial"/>
          <w:szCs w:val="20"/>
        </w:rPr>
        <w:t xml:space="preserve"> technologií u osob s omezením hybnosti, pomůcky pro lokomoci, sebeobsluhu, edukaci, hygienu, ICT, ortopedická protetika, interní a externí bariéry v životním prostředí osob s omezením hybnosti, legislativa týkající se poskytování zdravotních a kompenzačních pomůcek. </w:t>
      </w:r>
    </w:p>
    <w:p w14:paraId="6BDBEA80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6EC02AA1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Ergoterapie – vymezení a charakteristika, základní přístupy a oblasti ergoterapie, ergoterapeutický proces, diagnostické a intervenční metody, oblasti spolupráce ergoterapeuta a speciálního pedagoga.</w:t>
      </w:r>
    </w:p>
    <w:p w14:paraId="5D3065B0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24B9ECE0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 xml:space="preserve">Fyzioterapie a fyzikální terapie – vymezení a charakteristika, diagnostické a intervenční metody, pomůcky a moderní technologie, terminologie a klasifikace motoriky, metody u osob s tělesným a vícečetným postižením (Vojtova metoda, </w:t>
      </w:r>
      <w:proofErr w:type="spellStart"/>
      <w:r w:rsidRPr="0094484F">
        <w:rPr>
          <w:rFonts w:cs="Arial"/>
          <w:szCs w:val="20"/>
        </w:rPr>
        <w:t>Bobath</w:t>
      </w:r>
      <w:proofErr w:type="spellEnd"/>
      <w:r w:rsidRPr="0094484F">
        <w:rPr>
          <w:rFonts w:cs="Arial"/>
          <w:szCs w:val="20"/>
        </w:rPr>
        <w:t xml:space="preserve"> koncept a další), příklady aplikace fyzikálních prostředků, význam fyzioterapie pro práci </w:t>
      </w:r>
      <w:proofErr w:type="spellStart"/>
      <w:r w:rsidRPr="0094484F">
        <w:rPr>
          <w:rFonts w:cs="Arial"/>
          <w:szCs w:val="20"/>
        </w:rPr>
        <w:t>somatopeda</w:t>
      </w:r>
      <w:proofErr w:type="spellEnd"/>
      <w:r w:rsidRPr="0094484F">
        <w:rPr>
          <w:rFonts w:cs="Arial"/>
          <w:szCs w:val="20"/>
        </w:rPr>
        <w:t>.</w:t>
      </w:r>
    </w:p>
    <w:p w14:paraId="0BC12259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0B4F6310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Další intervenční přístupy v oblasti rehabilitace a vzdělávání využitelné u osob s OH (např. pedagogika založená na umění, umělecké terapie, bazální stimulace, aplikovaná behaviorální analýza, zooterapie a další – výběr dle zaměření studentů.</w:t>
      </w:r>
    </w:p>
    <w:p w14:paraId="7F980F29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078A9A80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Komunikace u žáků s omezením hybnosti – vliv tělesného postižení na komunikační proces, nejčastější projevy narušené komunikace u žáků s tělesným postižením (anartrie, dysartrie, afázie), systémy a technologie AAK, možnosti členění AAK a jejich aplikace u žáků s tělesným a vícečetným postižením.</w:t>
      </w:r>
    </w:p>
    <w:p w14:paraId="6B55C4B0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546789E0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Současný systém zařízení a služeb pro osoby s omezením hybnosti podle resortů a věku. Charakteristika zařízení s důrazem na cílové skupiny studijního oboru.</w:t>
      </w:r>
    </w:p>
    <w:p w14:paraId="23212C9F" w14:textId="77777777" w:rsidR="0094484F" w:rsidRPr="0094484F" w:rsidRDefault="0094484F" w:rsidP="0094484F">
      <w:pPr>
        <w:pStyle w:val="Odstavecseseznamem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B985DC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94484F">
        <w:rPr>
          <w:rFonts w:cs="Arial"/>
          <w:color w:val="000000"/>
          <w:szCs w:val="20"/>
          <w:shd w:val="clear" w:color="auto" w:fill="FFFFFF"/>
        </w:rPr>
        <w:t xml:space="preserve">Poradenství u osob s omezením hybnosti, hodnocení a diagnostika žáka s omezením hybnosti, příklady hodnocení využitelných ve </w:t>
      </w:r>
      <w:proofErr w:type="spellStart"/>
      <w:r w:rsidRPr="0094484F">
        <w:rPr>
          <w:rFonts w:cs="Arial"/>
          <w:color w:val="000000"/>
          <w:szCs w:val="20"/>
          <w:shd w:val="clear" w:color="auto" w:fill="FFFFFF"/>
        </w:rPr>
        <w:t>speciálněpedagogické</w:t>
      </w:r>
      <w:proofErr w:type="spellEnd"/>
      <w:r w:rsidRPr="0094484F">
        <w:rPr>
          <w:rFonts w:cs="Arial"/>
          <w:color w:val="000000"/>
          <w:szCs w:val="20"/>
          <w:shd w:val="clear" w:color="auto" w:fill="FFFFFF"/>
        </w:rPr>
        <w:t xml:space="preserve"> praxi.</w:t>
      </w:r>
    </w:p>
    <w:p w14:paraId="4A51284E" w14:textId="77777777" w:rsidR="0094484F" w:rsidRPr="0094484F" w:rsidRDefault="0094484F" w:rsidP="0094484F">
      <w:pPr>
        <w:pStyle w:val="Odstavecseseznamem"/>
        <w:rPr>
          <w:rFonts w:ascii="Arial" w:hAnsi="Arial" w:cs="Arial"/>
          <w:sz w:val="20"/>
          <w:szCs w:val="20"/>
        </w:rPr>
      </w:pPr>
    </w:p>
    <w:p w14:paraId="26841AF2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Speciální (vzdělávací) potřeby u žáků s omezením hybnosti a podpůrná vzdělávací opatření, jejich aplikace do oblasti somatopedie.</w:t>
      </w:r>
    </w:p>
    <w:p w14:paraId="350A6AE4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6BB37069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Specifika vzdělávání ve školách pro žáky s tělesným postižením.</w:t>
      </w:r>
    </w:p>
    <w:p w14:paraId="5DEC6634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5119AEAF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Specifika vzdělávání ve školách při zdravotnických zařízeních (nemocnice, léčebny a ozdravovny) – edukační metody, formy a organizace vzdělávání, dokumentace, uzpůsobení obsahu učiva pro žáky. Význam speciálního pedagoga a herního specialisty ve zdravotnických zařízeních.</w:t>
      </w:r>
    </w:p>
    <w:p w14:paraId="614F4896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39A09A9A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Vzdělávání žáků s těžkým vícečetným postižením (vývoj vzdělávacích programů, cíle vzdělávání, organizace a metody atd.).</w:t>
      </w:r>
    </w:p>
    <w:p w14:paraId="6157E64D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042B0872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Inkluzivní vzdělávání žáků s omezením hybnosti (legislativní ukotvení, charakteristika, faktory rozhodující o úspěšnosti inkluze).</w:t>
      </w:r>
    </w:p>
    <w:p w14:paraId="01EFA32F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6153E42A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 xml:space="preserve">Vztah mezi speciálním pedagogem a osobou s omezením hybnosti – specifika interakčního procesu, problematika moci a podpory, rizika utváření a rozvoje vztahu, prevence syndrom vyhoření a možnosti podpory osobám v pomáhajících profesích. </w:t>
      </w:r>
    </w:p>
    <w:p w14:paraId="6A6511E6" w14:textId="77777777" w:rsidR="0094484F" w:rsidRPr="0094484F" w:rsidRDefault="0094484F" w:rsidP="0094484F">
      <w:pPr>
        <w:ind w:left="720"/>
        <w:rPr>
          <w:rFonts w:cs="Arial"/>
          <w:szCs w:val="20"/>
        </w:rPr>
      </w:pPr>
    </w:p>
    <w:p w14:paraId="426C91F3" w14:textId="77777777" w:rsidR="0094484F" w:rsidRPr="0094484F" w:rsidRDefault="0094484F" w:rsidP="0094484F">
      <w:pPr>
        <w:numPr>
          <w:ilvl w:val="0"/>
          <w:numId w:val="2"/>
        </w:numPr>
        <w:spacing w:after="0" w:line="240" w:lineRule="auto"/>
        <w:contextualSpacing w:val="0"/>
        <w:rPr>
          <w:rFonts w:cs="Arial"/>
          <w:szCs w:val="20"/>
        </w:rPr>
      </w:pPr>
      <w:r w:rsidRPr="0094484F">
        <w:rPr>
          <w:rFonts w:cs="Arial"/>
          <w:szCs w:val="20"/>
        </w:rPr>
        <w:t>Volnočasové a výchovné aktivity – zájmové a volnočasové aktivity ve školním i mimoškolním prostředí. (s důrazem na cílové skupiny studijního oboru).</w:t>
      </w:r>
    </w:p>
    <w:p w14:paraId="5A27F89C" w14:textId="77777777" w:rsidR="0094484F" w:rsidRPr="0094484F" w:rsidRDefault="0094484F" w:rsidP="0094484F">
      <w:pPr>
        <w:ind w:left="360"/>
        <w:rPr>
          <w:rFonts w:cs="Arial"/>
          <w:szCs w:val="20"/>
        </w:rPr>
      </w:pPr>
    </w:p>
    <w:p w14:paraId="4A7950A3" w14:textId="77777777" w:rsidR="0094484F" w:rsidRDefault="0094484F" w:rsidP="0094484F">
      <w:pPr>
        <w:jc w:val="center"/>
      </w:pPr>
    </w:p>
    <w:p w14:paraId="2B17607F" w14:textId="77777777" w:rsidR="0094484F" w:rsidRPr="003D1D21" w:rsidRDefault="0094484F" w:rsidP="0094484F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lastRenderedPageBreak/>
        <w:t>Poznámka:</w:t>
      </w:r>
    </w:p>
    <w:p w14:paraId="3ADDB577" w14:textId="77777777" w:rsidR="0094484F" w:rsidRPr="00874620" w:rsidRDefault="0094484F" w:rsidP="0094484F">
      <w:pPr>
        <w:spacing w:after="0" w:line="360" w:lineRule="auto"/>
        <w:contextualSpacing w:val="0"/>
        <w:rPr>
          <w:bCs/>
        </w:rPr>
      </w:pPr>
      <w:r w:rsidRPr="00874620">
        <w:rPr>
          <w:bCs/>
        </w:rPr>
        <w:t>Student/</w:t>
      </w:r>
      <w:proofErr w:type="spellStart"/>
      <w:r w:rsidRPr="00874620">
        <w:rPr>
          <w:bCs/>
        </w:rPr>
        <w:t>ka</w:t>
      </w:r>
      <w:proofErr w:type="spellEnd"/>
      <w:r w:rsidRPr="00874620">
        <w:rPr>
          <w:bCs/>
        </w:rPr>
        <w:t xml:space="preserve"> si u SZZ vybírá 2 okruhy. </w:t>
      </w:r>
      <w:r w:rsidRPr="005526AE">
        <w:rPr>
          <w:bCs/>
        </w:rPr>
        <w:t>Součástí SZZ je předložení soupisu prostudované odborné literatury. Hodnocení studenta se odvíjí od kvality přípravy a projevených znalostí v jednotlivých podotázkách daných okruhů.</w:t>
      </w:r>
    </w:p>
    <w:p w14:paraId="66875B16" w14:textId="77777777" w:rsidR="0094484F" w:rsidRDefault="0094484F" w:rsidP="0094484F">
      <w:pPr>
        <w:spacing w:after="0" w:line="360" w:lineRule="auto"/>
        <w:contextualSpacing w:val="0"/>
      </w:pPr>
    </w:p>
    <w:p w14:paraId="71BE586B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Doporučená základní literatura:</w:t>
      </w:r>
    </w:p>
    <w:p w14:paraId="2E53039F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Friedlová, K. (2007). </w:t>
      </w:r>
      <w:r>
        <w:rPr>
          <w:rFonts w:cs="Arial"/>
          <w:i/>
          <w:iCs/>
          <w:szCs w:val="20"/>
        </w:rPr>
        <w:t>Bazální stimulace v základní ošetřovatelské péči</w:t>
      </w:r>
      <w:r>
        <w:rPr>
          <w:rFonts w:cs="Arial"/>
          <w:szCs w:val="20"/>
        </w:rPr>
        <w:t>. Praha: Grada.</w:t>
      </w:r>
    </w:p>
    <w:p w14:paraId="41BEC341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b/>
          <w:szCs w:val="20"/>
        </w:rPr>
      </w:pPr>
      <w:r>
        <w:rPr>
          <w:rFonts w:cs="Arial"/>
          <w:szCs w:val="20"/>
          <w:shd w:val="clear" w:color="auto" w:fill="FFFFFF"/>
        </w:rPr>
        <w:t xml:space="preserve">Chrastina, J. a kol. (2016). </w:t>
      </w:r>
      <w:r>
        <w:rPr>
          <w:rFonts w:cs="Arial"/>
          <w:i/>
          <w:iCs/>
          <w:szCs w:val="20"/>
          <w:shd w:val="clear" w:color="auto" w:fill="FFFFFF"/>
        </w:rPr>
        <w:t xml:space="preserve">Percepce subjektivního dopadu zdravotního postižení – přítomnosti chronického onemocnění a pojetí zdravotního uvědomění a gramotnosti: výzkumy, teorie a jejich využití v práci s klientem. </w:t>
      </w:r>
      <w:r>
        <w:rPr>
          <w:rFonts w:cs="Arial"/>
          <w:szCs w:val="20"/>
          <w:shd w:val="clear" w:color="auto" w:fill="FFFFFF"/>
        </w:rPr>
        <w:t>Olomouc: Univerzita Palackého v Olomouci.</w:t>
      </w:r>
    </w:p>
    <w:p w14:paraId="4E555BF2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Jurkovičová</w:t>
      </w:r>
      <w:proofErr w:type="spellEnd"/>
      <w:r>
        <w:rPr>
          <w:rFonts w:cs="Arial"/>
          <w:szCs w:val="20"/>
        </w:rPr>
        <w:t xml:space="preserve">, P., </w:t>
      </w:r>
      <w:proofErr w:type="spellStart"/>
      <w:r>
        <w:rPr>
          <w:rFonts w:cs="Arial"/>
          <w:szCs w:val="20"/>
        </w:rPr>
        <w:t>Regec</w:t>
      </w:r>
      <w:proofErr w:type="spellEnd"/>
      <w:r>
        <w:rPr>
          <w:rFonts w:cs="Arial"/>
          <w:szCs w:val="20"/>
        </w:rPr>
        <w:t xml:space="preserve">, V. (2013). </w:t>
      </w:r>
      <w:r>
        <w:rPr>
          <w:rFonts w:cs="Arial"/>
          <w:i/>
          <w:iCs/>
          <w:szCs w:val="20"/>
        </w:rPr>
        <w:t xml:space="preserve">Úvod do </w:t>
      </w:r>
      <w:proofErr w:type="spellStart"/>
      <w:r>
        <w:rPr>
          <w:rFonts w:cs="Arial"/>
          <w:i/>
          <w:iCs/>
          <w:szCs w:val="20"/>
        </w:rPr>
        <w:t>speciálněpedagogického</w:t>
      </w:r>
      <w:proofErr w:type="spellEnd"/>
      <w:r>
        <w:rPr>
          <w:rFonts w:cs="Arial"/>
          <w:i/>
          <w:iCs/>
          <w:szCs w:val="20"/>
        </w:rPr>
        <w:t xml:space="preserve"> poradenství</w:t>
      </w:r>
      <w:r>
        <w:rPr>
          <w:rFonts w:cs="Arial"/>
          <w:szCs w:val="20"/>
        </w:rPr>
        <w:t>. Olomouc: Univerzita Palackého v Olomouci.</w:t>
      </w:r>
    </w:p>
    <w:p w14:paraId="3BB529C2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</w:pPr>
      <w:r>
        <w:t xml:space="preserve">Kantor, J., Chrastina, J., </w:t>
      </w:r>
      <w:proofErr w:type="spellStart"/>
      <w:r>
        <w:t>Jurkovičová</w:t>
      </w:r>
      <w:proofErr w:type="spellEnd"/>
      <w:r>
        <w:t xml:space="preserve">, P., </w:t>
      </w:r>
      <w:proofErr w:type="spellStart"/>
      <w:r>
        <w:t>Urbanovská</w:t>
      </w:r>
      <w:proofErr w:type="spellEnd"/>
      <w:r>
        <w:t>, E. a kol. (2020). Speciální pedagogika osob s omezením hybnosti. Olomouc: Univerzita Palackého.</w:t>
      </w:r>
    </w:p>
    <w:p w14:paraId="300FBEF6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Kantor, J. (2012). </w:t>
      </w:r>
      <w:r>
        <w:rPr>
          <w:rFonts w:eastAsia="Times New Roman" w:cs="Arial"/>
          <w:szCs w:val="20"/>
          <w:lang w:eastAsia="cs-CZ"/>
        </w:rPr>
        <w:t xml:space="preserve">Prostředky augmentativní a alternativní komunikace u osob s tělesným a kombinovaným postižením. In </w:t>
      </w:r>
      <w:proofErr w:type="spellStart"/>
      <w:r>
        <w:rPr>
          <w:rFonts w:eastAsia="Times New Roman" w:cs="Arial"/>
          <w:szCs w:val="20"/>
          <w:lang w:eastAsia="cs-CZ"/>
        </w:rPr>
        <w:t>Ludíková</w:t>
      </w:r>
      <w:proofErr w:type="spellEnd"/>
      <w:r>
        <w:rPr>
          <w:rFonts w:eastAsia="Times New Roman" w:cs="Arial"/>
          <w:szCs w:val="20"/>
          <w:lang w:eastAsia="cs-CZ"/>
        </w:rPr>
        <w:t>, L., Kozáková, Z. a kol. Specifika komunikace s osobami se speciálními vzdělávacími potřebami. Olomouc: Vydavatelství Univerzity Palackého.</w:t>
      </w:r>
    </w:p>
    <w:p w14:paraId="671DA1C8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>Kantor, J. (2020). Umělecké terapie a žáci se speciálními vzdělávacími potřebami. In Müller, O. Metodika expresivních přístupů u žáků se SVP v inkluzivním vzdělávání. Olomouc: Vydavatelství Univerzity Palackého.</w:t>
      </w:r>
    </w:p>
    <w:p w14:paraId="76D45B42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(2020). </w:t>
      </w:r>
      <w:r>
        <w:rPr>
          <w:rFonts w:cs="Arial"/>
          <w:szCs w:val="20"/>
        </w:rPr>
        <w:t xml:space="preserve">Potenciál integrace umění do vzdělávání žáků se speciálními vzdělávacími potřebami. </w:t>
      </w:r>
      <w:r>
        <w:rPr>
          <w:rFonts w:eastAsia="Times New Roman" w:cs="Arial"/>
          <w:szCs w:val="20"/>
          <w:lang w:eastAsia="cs-CZ"/>
        </w:rPr>
        <w:t>In Müller, O. Metodika expresivních přístupů u žáků se SVP v inkluzivním vzdělávání. Olomouc: Vydavatelství Univerzity Palackého.</w:t>
      </w:r>
    </w:p>
    <w:p w14:paraId="4BBDD881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eastAsia="Times New Roman" w:cs="Arial"/>
          <w:szCs w:val="20"/>
          <w:lang w:eastAsia="cs-CZ"/>
        </w:rPr>
        <w:t xml:space="preserve">Kantor, J. a kol. (2013). </w:t>
      </w:r>
      <w:r>
        <w:rPr>
          <w:rFonts w:cs="Arial"/>
          <w:color w:val="212529"/>
          <w:szCs w:val="20"/>
          <w:shd w:val="clear" w:color="auto" w:fill="FFFFFF"/>
        </w:rPr>
        <w:t xml:space="preserve">Medicínské aspekty omezení hybnosti. Olomouc: Vydavatelství Univerzity Palackého. </w:t>
      </w:r>
    </w:p>
    <w:p w14:paraId="4D27AB7F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  <w:szCs w:val="20"/>
        </w:rPr>
      </w:pPr>
      <w:r>
        <w:rPr>
          <w:rFonts w:cs="Arial"/>
          <w:color w:val="212529"/>
          <w:szCs w:val="20"/>
          <w:shd w:val="clear" w:color="auto" w:fill="FFFFFF"/>
        </w:rPr>
        <w:t xml:space="preserve">Kantor, J. (2013). Technické pomůcky pro osoby s omezením hybnosti. In Langer, J. Technické pomůcky pro osoby se zdravotním postižením. Olomouc: Vydavatelství Univerzity Palackého. </w:t>
      </w:r>
    </w:p>
    <w:p w14:paraId="05EB10C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Klusoňová</w:t>
      </w:r>
      <w:proofErr w:type="spellEnd"/>
      <w:r>
        <w:rPr>
          <w:rFonts w:cs="Arial"/>
          <w:szCs w:val="20"/>
        </w:rPr>
        <w:t xml:space="preserve">, E., </w:t>
      </w:r>
      <w:proofErr w:type="spellStart"/>
      <w:r>
        <w:rPr>
          <w:rFonts w:cs="Arial"/>
          <w:szCs w:val="20"/>
        </w:rPr>
        <w:t>Pitnerová</w:t>
      </w:r>
      <w:proofErr w:type="spellEnd"/>
      <w:r>
        <w:rPr>
          <w:rFonts w:cs="Arial"/>
          <w:szCs w:val="20"/>
        </w:rPr>
        <w:t xml:space="preserve">, J. (2005). </w:t>
      </w:r>
      <w:r>
        <w:rPr>
          <w:rFonts w:cs="Arial"/>
          <w:i/>
          <w:iCs/>
          <w:szCs w:val="20"/>
        </w:rPr>
        <w:t>Rehabilitační ošetřování pacientů s těžkými poruchami hybnosti.</w:t>
      </w:r>
      <w:r>
        <w:rPr>
          <w:rFonts w:cs="Arial"/>
          <w:szCs w:val="20"/>
        </w:rPr>
        <w:t xml:space="preserve"> Brno: Národní centrum ošetřovatelství a nelékařských zdravotnických oborů.</w:t>
      </w:r>
    </w:p>
    <w:p w14:paraId="25EFCD3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 xml:space="preserve">Kolář, P. a kol. (2010). Rehabilitace v klinické praxi. Praha: </w:t>
      </w:r>
      <w:proofErr w:type="spellStart"/>
      <w:r>
        <w:rPr>
          <w:rFonts w:cs="Arial"/>
        </w:rPr>
        <w:t>Galén</w:t>
      </w:r>
      <w:proofErr w:type="spellEnd"/>
      <w:r>
        <w:rPr>
          <w:rFonts w:cs="Arial"/>
        </w:rPr>
        <w:t xml:space="preserve">. </w:t>
      </w:r>
    </w:p>
    <w:p w14:paraId="7BA02A17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Krivošíková</w:t>
      </w:r>
      <w:proofErr w:type="spellEnd"/>
      <w:r>
        <w:rPr>
          <w:rFonts w:cs="Arial"/>
        </w:rPr>
        <w:t>, M. (2017). Úvod do ergoterapie. Praha: Grada.</w:t>
      </w:r>
    </w:p>
    <w:p w14:paraId="4A7BAB4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rPr>
          <w:rFonts w:cs="Arial"/>
        </w:rPr>
        <w:t>Majerová, R. (2014). Lingvistika ve speciální pedagogice. In Müller, O. a kol. Terapie ve speciální ped</w:t>
      </w:r>
      <w:r>
        <w:rPr>
          <w:rFonts w:cs="Arial"/>
          <w:szCs w:val="20"/>
        </w:rPr>
        <w:t>agogice. Praha: Grada.</w:t>
      </w:r>
    </w:p>
    <w:p w14:paraId="056633BC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Opatřilová, D., Zámečníková, D. (2007). </w:t>
      </w:r>
      <w:r>
        <w:rPr>
          <w:rFonts w:cs="Arial"/>
          <w:i/>
          <w:iCs/>
          <w:szCs w:val="20"/>
        </w:rPr>
        <w:t>Somatopedie – texty k distančnímu vzdělávání</w:t>
      </w:r>
      <w:r>
        <w:rPr>
          <w:rFonts w:cs="Arial"/>
          <w:szCs w:val="20"/>
        </w:rPr>
        <w:t xml:space="preserve">. Brno: </w:t>
      </w:r>
      <w:proofErr w:type="spellStart"/>
      <w:r>
        <w:rPr>
          <w:rFonts w:cs="Arial"/>
          <w:szCs w:val="20"/>
        </w:rPr>
        <w:t>Paido</w:t>
      </w:r>
      <w:proofErr w:type="spellEnd"/>
      <w:r>
        <w:rPr>
          <w:rFonts w:cs="Arial"/>
          <w:szCs w:val="20"/>
        </w:rPr>
        <w:t>.</w:t>
      </w:r>
    </w:p>
    <w:p w14:paraId="3CDB7995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>, J. (2007). Neurologie v rehabilitaci. Praha: Grada.</w:t>
      </w:r>
    </w:p>
    <w:p w14:paraId="4AD40B24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>, J., Dvořák, R., Kantor, J. a kol. (2015). Rehabilitace, fyzioterapie a ergoterapie. In Müller, O. a kol. Terapie ve speciální pedagogice. Praha: Grada.</w:t>
      </w:r>
    </w:p>
    <w:p w14:paraId="43BC3EE4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Šarounová, J. (2014). </w:t>
      </w:r>
      <w:r>
        <w:rPr>
          <w:rFonts w:cs="Arial"/>
          <w:i/>
          <w:iCs/>
          <w:szCs w:val="20"/>
        </w:rPr>
        <w:t>Metody alternativní a augmentativní komunikace</w:t>
      </w:r>
      <w:r>
        <w:rPr>
          <w:rFonts w:cs="Arial"/>
          <w:szCs w:val="20"/>
        </w:rPr>
        <w:t>. Praha: Portál. 2014. ISBN 978-80-262-0716-0.</w:t>
      </w:r>
    </w:p>
    <w:p w14:paraId="27C5905D" w14:textId="77777777" w:rsidR="00EF7CE3" w:rsidRDefault="00EF7CE3" w:rsidP="00EF7CE3">
      <w:pPr>
        <w:numPr>
          <w:ilvl w:val="0"/>
          <w:numId w:val="3"/>
        </w:numPr>
        <w:spacing w:after="0" w:line="360" w:lineRule="auto"/>
        <w:ind w:left="425" w:hanging="357"/>
        <w:rPr>
          <w:rFonts w:cs="Arial"/>
        </w:rPr>
      </w:pPr>
      <w:r>
        <w:t>Švest</w:t>
      </w:r>
      <w:r>
        <w:rPr>
          <w:rFonts w:cs="Arial"/>
        </w:rPr>
        <w:t xml:space="preserve">ková, O., </w:t>
      </w:r>
      <w:proofErr w:type="spellStart"/>
      <w:r>
        <w:rPr>
          <w:rFonts w:cs="Arial"/>
        </w:rPr>
        <w:t>Angerová</w:t>
      </w:r>
      <w:proofErr w:type="spellEnd"/>
      <w:r>
        <w:rPr>
          <w:rFonts w:cs="Arial"/>
        </w:rPr>
        <w:t xml:space="preserve">, Y., </w:t>
      </w:r>
      <w:proofErr w:type="spellStart"/>
      <w:r>
        <w:rPr>
          <w:rFonts w:cs="Arial"/>
        </w:rPr>
        <w:t>Pfeiffer</w:t>
      </w:r>
      <w:proofErr w:type="spellEnd"/>
      <w:r>
        <w:rPr>
          <w:rFonts w:cs="Arial"/>
        </w:rPr>
        <w:t xml:space="preserve">, J. a kol. (2017). Rehabilitace motoriky člověka. Praha: Grada. </w:t>
      </w:r>
    </w:p>
    <w:p w14:paraId="614009F6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Vítková, M. (2006). </w:t>
      </w:r>
      <w:proofErr w:type="spellStart"/>
      <w:r>
        <w:rPr>
          <w:rFonts w:cs="Arial"/>
          <w:i/>
          <w:iCs/>
          <w:szCs w:val="20"/>
        </w:rPr>
        <w:t>Somatopedické</w:t>
      </w:r>
      <w:proofErr w:type="spellEnd"/>
      <w:r>
        <w:rPr>
          <w:rFonts w:cs="Arial"/>
          <w:i/>
          <w:iCs/>
          <w:szCs w:val="20"/>
        </w:rPr>
        <w:t xml:space="preserve"> aspekty</w:t>
      </w:r>
      <w:r>
        <w:rPr>
          <w:rFonts w:cs="Arial"/>
          <w:szCs w:val="20"/>
        </w:rPr>
        <w:t xml:space="preserve">. Brno: </w:t>
      </w:r>
      <w:proofErr w:type="spellStart"/>
      <w:r>
        <w:rPr>
          <w:rFonts w:cs="Arial"/>
          <w:szCs w:val="20"/>
        </w:rPr>
        <w:t>Paido</w:t>
      </w:r>
      <w:proofErr w:type="spellEnd"/>
      <w:r>
        <w:rPr>
          <w:rFonts w:cs="Arial"/>
          <w:szCs w:val="20"/>
        </w:rPr>
        <w:t xml:space="preserve">. </w:t>
      </w:r>
    </w:p>
    <w:p w14:paraId="70CB1BD3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Vojta, V., </w:t>
      </w:r>
      <w:proofErr w:type="spellStart"/>
      <w:r>
        <w:rPr>
          <w:rFonts w:cs="Arial"/>
          <w:szCs w:val="20"/>
        </w:rPr>
        <w:t>Peters</w:t>
      </w:r>
      <w:proofErr w:type="spellEnd"/>
      <w:r>
        <w:rPr>
          <w:rFonts w:cs="Arial"/>
          <w:szCs w:val="20"/>
        </w:rPr>
        <w:t xml:space="preserve">, A. (2010). </w:t>
      </w:r>
      <w:r>
        <w:rPr>
          <w:rFonts w:cs="Arial"/>
          <w:i/>
          <w:iCs/>
          <w:szCs w:val="20"/>
        </w:rPr>
        <w:t>Vojtův princip: svalové souhry v reflexní lokomoci a motorické ontogenezi</w:t>
      </w:r>
      <w:r>
        <w:rPr>
          <w:rFonts w:cs="Arial"/>
          <w:szCs w:val="20"/>
        </w:rPr>
        <w:t>. Praha: Grada.</w:t>
      </w:r>
    </w:p>
    <w:p w14:paraId="3AF7585A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(2009). </w:t>
      </w:r>
      <w:r>
        <w:rPr>
          <w:rFonts w:cs="Arial"/>
          <w:i/>
          <w:iCs/>
          <w:szCs w:val="20"/>
        </w:rPr>
        <w:t>Ergoterapie a technické pomůcky v rehabilitaci</w:t>
      </w:r>
      <w:r>
        <w:rPr>
          <w:rFonts w:cs="Arial"/>
          <w:szCs w:val="20"/>
        </w:rPr>
        <w:t>. Liberec: Technická univerzita v Liberci.</w:t>
      </w:r>
    </w:p>
    <w:p w14:paraId="3E054159" w14:textId="77777777" w:rsidR="00EF7CE3" w:rsidRDefault="00EF7CE3" w:rsidP="00EF7CE3">
      <w:pPr>
        <w:numPr>
          <w:ilvl w:val="0"/>
          <w:numId w:val="3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Votava, J. a kol. (2005). </w:t>
      </w:r>
      <w:r>
        <w:rPr>
          <w:rFonts w:cs="Arial"/>
          <w:i/>
          <w:iCs/>
          <w:szCs w:val="20"/>
        </w:rPr>
        <w:t>Ucelená rehabilitace osob se zdravotním postižením</w:t>
      </w:r>
      <w:r>
        <w:rPr>
          <w:rFonts w:cs="Arial"/>
          <w:szCs w:val="20"/>
        </w:rPr>
        <w:t>. Praha: Karolinum.</w:t>
      </w:r>
    </w:p>
    <w:p w14:paraId="6AA8C633" w14:textId="77777777" w:rsidR="00EF7CE3" w:rsidRDefault="00EF7CE3" w:rsidP="00EF7CE3">
      <w:pPr>
        <w:spacing w:after="0" w:line="360" w:lineRule="auto"/>
      </w:pPr>
    </w:p>
    <w:p w14:paraId="67C88EAE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Legislativní předpisy:</w:t>
      </w:r>
    </w:p>
    <w:p w14:paraId="1416A898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27/2016 Sb. o vzdělávání žáků se speciálními vzdělávacími potřebami a žáků nadaných</w:t>
      </w:r>
    </w:p>
    <w:p w14:paraId="444E7A9A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72/2005 Sb. o poskytování poradenských služeb ve školách a školských poradenských zařízeních</w:t>
      </w:r>
    </w:p>
    <w:p w14:paraId="11C2464E" w14:textId="77777777" w:rsidR="00EF7CE3" w:rsidRDefault="00EF7CE3" w:rsidP="00EF7CE3">
      <w:pPr>
        <w:numPr>
          <w:ilvl w:val="0"/>
          <w:numId w:val="4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iCs/>
          <w:szCs w:val="20"/>
        </w:rPr>
        <w:t>Vyhláška č. 359/2009 Sb., kterou se stanoví procentní míry poklesu pracovní schopnosti a náležitosti posudku o invaliditě a upravuje posuzování pracovní schopnosti pro účely invalidity (vyhláška o posuzování invalidity)</w:t>
      </w:r>
      <w:r>
        <w:rPr>
          <w:rFonts w:cs="Arial"/>
          <w:szCs w:val="20"/>
        </w:rPr>
        <w:t>, ve znění pozdějších předpisů.</w:t>
      </w:r>
    </w:p>
    <w:p w14:paraId="650FE87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Vyhláška č. 388/2011 Sb., o provedení některých ustanovení zákona o poskytování dávek osobám se zdravotním postižením</w:t>
      </w:r>
      <w:r>
        <w:rPr>
          <w:rFonts w:cs="Arial"/>
          <w:szCs w:val="20"/>
        </w:rPr>
        <w:t>, ve znění pozdějších předpisů.</w:t>
      </w:r>
    </w:p>
    <w:p w14:paraId="2E55032E" w14:textId="77777777" w:rsidR="00EF7CE3" w:rsidRDefault="00EF7CE3" w:rsidP="00EF7CE3">
      <w:pPr>
        <w:numPr>
          <w:ilvl w:val="0"/>
          <w:numId w:val="4"/>
        </w:numPr>
        <w:spacing w:after="0" w:line="360" w:lineRule="auto"/>
        <w:ind w:left="425" w:hanging="357"/>
      </w:pPr>
      <w:r>
        <w:t>Vyhláška 505/2006 Sb. kterou se provádějí některá ustanovení zákona o sociálních službách</w:t>
      </w:r>
    </w:p>
    <w:p w14:paraId="0E67C42C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108/2006 Sb., o sociálních službách</w:t>
      </w:r>
      <w:r>
        <w:rPr>
          <w:rFonts w:cs="Arial"/>
          <w:szCs w:val="20"/>
        </w:rPr>
        <w:t>, ve znění pozdějších předpisů.</w:t>
      </w:r>
    </w:p>
    <w:p w14:paraId="3DDD71E6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329/2011 Sb., o poskytování dávek osobám se zdravotním postižením a o změně souvisejících zákonů</w:t>
      </w:r>
      <w:r>
        <w:rPr>
          <w:rFonts w:cs="Arial"/>
          <w:szCs w:val="20"/>
        </w:rPr>
        <w:t>, ve znění pozdějších předpisů.</w:t>
      </w:r>
    </w:p>
    <w:p w14:paraId="73675AF2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435/2004 Sb., o zaměstnanosti</w:t>
      </w:r>
      <w:r>
        <w:rPr>
          <w:rFonts w:cs="Arial"/>
          <w:szCs w:val="20"/>
        </w:rPr>
        <w:t>, ve znění pozdějších předpisů.</w:t>
      </w:r>
    </w:p>
    <w:p w14:paraId="5F18E050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t>Zákon 561/2004 Sb. o předškolním, základním, středním, vyšším odborném a jiném vzdělávání (školský zákon)</w:t>
      </w:r>
    </w:p>
    <w:p w14:paraId="58623434" w14:textId="77777777" w:rsidR="00EF7CE3" w:rsidRDefault="00EF7CE3" w:rsidP="00EF7CE3">
      <w:pPr>
        <w:numPr>
          <w:ilvl w:val="0"/>
          <w:numId w:val="4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iCs/>
          <w:szCs w:val="20"/>
        </w:rPr>
        <w:t>Zákon č. 582/1991 Sb., o organizaci a provádění sociálního zabezpečení</w:t>
      </w:r>
      <w:r>
        <w:rPr>
          <w:rFonts w:cs="Arial"/>
          <w:szCs w:val="20"/>
        </w:rPr>
        <w:t>, ve znění pozdějších předpisů.</w:t>
      </w:r>
      <w:r>
        <w:rPr>
          <w:rFonts w:cs="Arial"/>
          <w:iCs/>
          <w:szCs w:val="20"/>
        </w:rPr>
        <w:t xml:space="preserve"> </w:t>
      </w:r>
    </w:p>
    <w:p w14:paraId="4A79923F" w14:textId="77777777" w:rsidR="00EF7CE3" w:rsidRDefault="00EF7CE3" w:rsidP="00EF7CE3">
      <w:pPr>
        <w:spacing w:line="360" w:lineRule="auto"/>
        <w:ind w:left="360"/>
        <w:rPr>
          <w:rFonts w:cs="Arial"/>
          <w:szCs w:val="20"/>
        </w:rPr>
      </w:pPr>
    </w:p>
    <w:p w14:paraId="34EC4F2F" w14:textId="77777777" w:rsidR="00EF7CE3" w:rsidRDefault="00EF7CE3" w:rsidP="00EF7CE3">
      <w:pPr>
        <w:spacing w:after="0" w:line="360" w:lineRule="auto"/>
        <w:rPr>
          <w:b/>
          <w:bCs/>
        </w:rPr>
      </w:pPr>
    </w:p>
    <w:p w14:paraId="68A67ECF" w14:textId="77777777" w:rsidR="00EF7CE3" w:rsidRDefault="00EF7CE3" w:rsidP="00EF7CE3">
      <w:pPr>
        <w:spacing w:after="0" w:line="360" w:lineRule="auto"/>
        <w:rPr>
          <w:b/>
          <w:bCs/>
        </w:rPr>
      </w:pPr>
      <w:r>
        <w:rPr>
          <w:b/>
          <w:bCs/>
        </w:rPr>
        <w:t>Internetové zdroje:</w:t>
      </w:r>
    </w:p>
    <w:p w14:paraId="565BC901" w14:textId="77777777" w:rsidR="00EF7CE3" w:rsidRDefault="00EF7CE3" w:rsidP="00EF7CE3">
      <w:pPr>
        <w:numPr>
          <w:ilvl w:val="0"/>
          <w:numId w:val="5"/>
        </w:numPr>
        <w:spacing w:line="36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AGAPO, o. p. s.: </w:t>
      </w:r>
      <w:hyperlink r:id="rId7" w:history="1">
        <w:r>
          <w:rPr>
            <w:rStyle w:val="Hypertextovodkaz"/>
            <w:rFonts w:cs="Arial"/>
            <w:szCs w:val="20"/>
          </w:rPr>
          <w:t>www.agapo.cz</w:t>
        </w:r>
      </w:hyperlink>
      <w:r>
        <w:rPr>
          <w:rFonts w:cs="Arial"/>
          <w:szCs w:val="20"/>
        </w:rPr>
        <w:t xml:space="preserve"> </w:t>
      </w:r>
    </w:p>
    <w:p w14:paraId="1A3B043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Centrum Paraple, o.p.s.: </w:t>
      </w:r>
      <w:hyperlink r:id="rId8" w:history="1">
        <w:r>
          <w:rPr>
            <w:rStyle w:val="Hypertextovodkaz"/>
            <w:rFonts w:cs="Arial"/>
            <w:szCs w:val="20"/>
          </w:rPr>
          <w:t>www.paraple.cz</w:t>
        </w:r>
      </w:hyperlink>
      <w:r>
        <w:rPr>
          <w:rFonts w:cs="Arial"/>
          <w:szCs w:val="20"/>
        </w:rPr>
        <w:t xml:space="preserve"> </w:t>
      </w:r>
    </w:p>
    <w:p w14:paraId="651E0F3E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paraplegiků – CZEPA, z. s.: </w:t>
      </w:r>
      <w:hyperlink r:id="rId9" w:history="1">
        <w:r>
          <w:rPr>
            <w:rStyle w:val="Hypertextovodkaz"/>
            <w:rFonts w:cs="Arial"/>
            <w:szCs w:val="20"/>
          </w:rPr>
          <w:t>www.czepa.cz</w:t>
        </w:r>
      </w:hyperlink>
      <w:r>
        <w:rPr>
          <w:rFonts w:cs="Arial"/>
          <w:szCs w:val="20"/>
        </w:rPr>
        <w:t xml:space="preserve"> (projekt </w:t>
      </w:r>
      <w:proofErr w:type="spellStart"/>
      <w:r>
        <w:rPr>
          <w:rFonts w:cs="Arial"/>
          <w:szCs w:val="20"/>
        </w:rPr>
        <w:t>Vozejkov</w:t>
      </w:r>
      <w:proofErr w:type="spellEnd"/>
      <w:r>
        <w:rPr>
          <w:rFonts w:cs="Arial"/>
          <w:szCs w:val="20"/>
        </w:rPr>
        <w:t xml:space="preserve">: </w:t>
      </w:r>
      <w:hyperlink r:id="rId10" w:history="1">
        <w:r>
          <w:rPr>
            <w:rStyle w:val="Hypertextovodkaz"/>
            <w:rFonts w:cs="Arial"/>
            <w:szCs w:val="20"/>
          </w:rPr>
          <w:t>www.vozejkov.cz</w:t>
        </w:r>
      </w:hyperlink>
      <w:r>
        <w:rPr>
          <w:rFonts w:cs="Arial"/>
          <w:szCs w:val="20"/>
        </w:rPr>
        <w:t>)</w:t>
      </w:r>
    </w:p>
    <w:p w14:paraId="4D3BA61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pro vzácná onemocnění, z. s.: </w:t>
      </w:r>
      <w:hyperlink r:id="rId11" w:history="1">
        <w:r>
          <w:rPr>
            <w:rStyle w:val="Hypertextovodkaz"/>
            <w:rFonts w:cs="Arial"/>
            <w:szCs w:val="20"/>
          </w:rPr>
          <w:t>www.vzacna-onemocneni.cz</w:t>
        </w:r>
      </w:hyperlink>
    </w:p>
    <w:p w14:paraId="0460E2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asociace tělesně handicapovaných sportovců, z. s.: </w:t>
      </w:r>
      <w:hyperlink r:id="rId12" w:history="1">
        <w:r>
          <w:rPr>
            <w:rStyle w:val="Hypertextovodkaz"/>
            <w:rFonts w:cs="Arial"/>
            <w:szCs w:val="20"/>
          </w:rPr>
          <w:t>www.caths.cz</w:t>
        </w:r>
      </w:hyperlink>
      <w:r>
        <w:rPr>
          <w:rFonts w:cs="Arial"/>
          <w:szCs w:val="20"/>
        </w:rPr>
        <w:t xml:space="preserve"> </w:t>
      </w:r>
    </w:p>
    <w:p w14:paraId="13F08A5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diabetologická společnost ČLS JEP, z. s.: </w:t>
      </w:r>
      <w:hyperlink r:id="rId13" w:history="1">
        <w:r>
          <w:rPr>
            <w:rStyle w:val="Hypertextovodkaz"/>
            <w:rFonts w:cs="Arial"/>
            <w:szCs w:val="20"/>
          </w:rPr>
          <w:t>www.diab.cz</w:t>
        </w:r>
      </w:hyperlink>
      <w:r>
        <w:rPr>
          <w:rFonts w:cs="Arial"/>
          <w:szCs w:val="20"/>
        </w:rPr>
        <w:t xml:space="preserve"> </w:t>
      </w:r>
    </w:p>
    <w:p w14:paraId="0DF8905D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Česká federace </w:t>
      </w:r>
      <w:proofErr w:type="spellStart"/>
      <w:r>
        <w:rPr>
          <w:rFonts w:cs="Arial"/>
          <w:szCs w:val="20"/>
        </w:rPr>
        <w:t>Spastic</w:t>
      </w:r>
      <w:proofErr w:type="spellEnd"/>
      <w:r>
        <w:rPr>
          <w:rFonts w:cs="Arial"/>
          <w:szCs w:val="20"/>
        </w:rPr>
        <w:t xml:space="preserve"> Handicap, z. s.: </w:t>
      </w:r>
      <w:hyperlink r:id="rId14" w:history="1">
        <w:r>
          <w:rPr>
            <w:rStyle w:val="Hypertextovodkaz"/>
            <w:rFonts w:cs="Arial"/>
            <w:szCs w:val="20"/>
          </w:rPr>
          <w:t>www.spastic.cz</w:t>
        </w:r>
      </w:hyperlink>
      <w:r>
        <w:rPr>
          <w:rFonts w:cs="Arial"/>
          <w:szCs w:val="20"/>
        </w:rPr>
        <w:t xml:space="preserve"> </w:t>
      </w:r>
    </w:p>
    <w:p w14:paraId="13C7085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Liga vozíčkářů, z. </w:t>
      </w:r>
      <w:proofErr w:type="spellStart"/>
      <w:r>
        <w:rPr>
          <w:rFonts w:cs="Arial"/>
          <w:szCs w:val="20"/>
        </w:rPr>
        <w:t>ú.</w:t>
      </w:r>
      <w:proofErr w:type="spellEnd"/>
      <w:r>
        <w:rPr>
          <w:rFonts w:cs="Arial"/>
          <w:szCs w:val="20"/>
        </w:rPr>
        <w:t xml:space="preserve">: </w:t>
      </w:r>
      <w:hyperlink r:id="rId15" w:history="1">
        <w:r>
          <w:rPr>
            <w:rStyle w:val="Hypertextovodkaz"/>
            <w:rFonts w:cs="Arial"/>
            <w:szCs w:val="20"/>
          </w:rPr>
          <w:t>www.ligavozic.cz</w:t>
        </w:r>
      </w:hyperlink>
      <w:r>
        <w:rPr>
          <w:rFonts w:cs="Arial"/>
          <w:szCs w:val="20"/>
        </w:rPr>
        <w:t xml:space="preserve"> </w:t>
      </w:r>
    </w:p>
    <w:p w14:paraId="5596DEA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MPSV ČR – průvodce: </w:t>
      </w:r>
      <w:hyperlink r:id="rId16" w:history="1">
        <w:r>
          <w:rPr>
            <w:rStyle w:val="Hypertextovodkaz"/>
            <w:rFonts w:cs="Arial"/>
            <w:szCs w:val="20"/>
          </w:rPr>
          <w:t>https://www.mpsv.cz/web/cz/pruvodce</w:t>
        </w:r>
      </w:hyperlink>
      <w:r>
        <w:rPr>
          <w:rFonts w:cs="Arial"/>
          <w:szCs w:val="20"/>
        </w:rPr>
        <w:t xml:space="preserve"> </w:t>
      </w:r>
    </w:p>
    <w:p w14:paraId="17E93EC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Nadační fond pro podporu zaměstnávání osob se zdravotním postižením (NFOZP): </w:t>
      </w:r>
      <w:hyperlink r:id="rId17" w:history="1">
        <w:r>
          <w:rPr>
            <w:rStyle w:val="Hypertextovodkaz"/>
            <w:rFonts w:cs="Arial"/>
            <w:szCs w:val="20"/>
          </w:rPr>
          <w:t>www.nfozp.cz</w:t>
        </w:r>
      </w:hyperlink>
      <w:r>
        <w:rPr>
          <w:rFonts w:cs="Arial"/>
          <w:szCs w:val="20"/>
        </w:rPr>
        <w:t xml:space="preserve"> </w:t>
      </w:r>
    </w:p>
    <w:p w14:paraId="6A195CE2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Národní rada osob se zdravotním postižením České republiky, z. s.: </w:t>
      </w:r>
      <w:hyperlink r:id="rId18" w:history="1">
        <w:r>
          <w:rPr>
            <w:rStyle w:val="Hypertextovodkaz"/>
            <w:rFonts w:cs="Arial"/>
            <w:szCs w:val="20"/>
          </w:rPr>
          <w:t>www.nrzp.cz</w:t>
        </w:r>
      </w:hyperlink>
      <w:r>
        <w:rPr>
          <w:rFonts w:cs="Arial"/>
          <w:szCs w:val="20"/>
        </w:rPr>
        <w:t xml:space="preserve">   </w:t>
      </w:r>
    </w:p>
    <w:p w14:paraId="6A0D4415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SDMO – Sdružení pro komplexní péči při dětské mozkové obrně, z. s.: </w:t>
      </w:r>
      <w:hyperlink r:id="rId19" w:history="1">
        <w:r>
          <w:rPr>
            <w:rStyle w:val="Hypertextovodkaz"/>
            <w:rFonts w:cs="Arial"/>
            <w:szCs w:val="20"/>
          </w:rPr>
          <w:t>www.dmoinfo.cz</w:t>
        </w:r>
      </w:hyperlink>
      <w:r>
        <w:rPr>
          <w:rFonts w:cs="Arial"/>
          <w:szCs w:val="20"/>
        </w:rPr>
        <w:t xml:space="preserve"> </w:t>
      </w:r>
    </w:p>
    <w:p w14:paraId="19F9CEB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Somatopedická</w:t>
      </w:r>
      <w:proofErr w:type="spellEnd"/>
      <w:r>
        <w:rPr>
          <w:rFonts w:cs="Arial"/>
          <w:szCs w:val="20"/>
        </w:rPr>
        <w:t xml:space="preserve"> společnost, z. s.: </w:t>
      </w:r>
      <w:hyperlink r:id="rId20" w:history="1">
        <w:r>
          <w:rPr>
            <w:rStyle w:val="Hypertextovodkaz"/>
            <w:rFonts w:cs="Arial"/>
            <w:szCs w:val="20"/>
          </w:rPr>
          <w:t>www.somspol.wz.cz</w:t>
        </w:r>
      </w:hyperlink>
      <w:r>
        <w:rPr>
          <w:rFonts w:cs="Arial"/>
          <w:szCs w:val="20"/>
        </w:rPr>
        <w:t xml:space="preserve"> </w:t>
      </w:r>
    </w:p>
    <w:p w14:paraId="1F7D253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Společnost „E“, z. s.: </w:t>
      </w:r>
      <w:hyperlink r:id="rId21" w:history="1">
        <w:r>
          <w:rPr>
            <w:rStyle w:val="Hypertextovodkaz"/>
            <w:rFonts w:cs="Arial"/>
            <w:szCs w:val="20"/>
          </w:rPr>
          <w:t>www.spolecnost-e.cz</w:t>
        </w:r>
      </w:hyperlink>
      <w:r>
        <w:rPr>
          <w:rFonts w:cs="Arial"/>
          <w:szCs w:val="20"/>
        </w:rPr>
        <w:t xml:space="preserve"> </w:t>
      </w:r>
    </w:p>
    <w:p w14:paraId="1F089E4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Spolek TREND VOZÍČKÁŘŮ Olomouc, spolek: </w:t>
      </w:r>
      <w:hyperlink r:id="rId22" w:history="1">
        <w:r>
          <w:rPr>
            <w:rStyle w:val="Hypertextovodkaz"/>
            <w:rFonts w:cs="Arial"/>
            <w:szCs w:val="20"/>
          </w:rPr>
          <w:t>www.trendvozickaru.cz</w:t>
        </w:r>
      </w:hyperlink>
      <w:r>
        <w:rPr>
          <w:rFonts w:cs="Arial"/>
          <w:szCs w:val="20"/>
        </w:rPr>
        <w:t xml:space="preserve"> </w:t>
      </w:r>
    </w:p>
    <w:p w14:paraId="28AD86C1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diabetiků České republiky, z. s.: </w:t>
      </w:r>
      <w:hyperlink r:id="rId23" w:history="1">
        <w:r>
          <w:rPr>
            <w:rStyle w:val="Hypertextovodkaz"/>
            <w:rFonts w:cs="Arial"/>
            <w:szCs w:val="20"/>
          </w:rPr>
          <w:t>www.diabetes.cz</w:t>
        </w:r>
      </w:hyperlink>
      <w:r>
        <w:rPr>
          <w:rFonts w:cs="Arial"/>
          <w:szCs w:val="20"/>
        </w:rPr>
        <w:t xml:space="preserve"> </w:t>
      </w:r>
    </w:p>
    <w:p w14:paraId="241755FC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Svaz tělesně postižených v České republice, z. s.: </w:t>
      </w:r>
      <w:hyperlink r:id="rId24" w:history="1">
        <w:r>
          <w:rPr>
            <w:rStyle w:val="Hypertextovodkaz"/>
            <w:rFonts w:cs="Arial"/>
            <w:szCs w:val="20"/>
          </w:rPr>
          <w:t>www.svaztp.cz</w:t>
        </w:r>
      </w:hyperlink>
      <w:r>
        <w:rPr>
          <w:rFonts w:cs="Arial"/>
          <w:szCs w:val="20"/>
        </w:rPr>
        <w:t xml:space="preserve"> </w:t>
      </w:r>
    </w:p>
    <w:p w14:paraId="2E4A5D0B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Unie ROSKA – česká MS společnost, z. s.: </w:t>
      </w:r>
      <w:hyperlink r:id="rId25" w:history="1">
        <w:r>
          <w:rPr>
            <w:rStyle w:val="Hypertextovodkaz"/>
            <w:rFonts w:cs="Arial"/>
            <w:szCs w:val="20"/>
          </w:rPr>
          <w:t>www.roska.eu</w:t>
        </w:r>
      </w:hyperlink>
      <w:r>
        <w:rPr>
          <w:rFonts w:cs="Arial"/>
          <w:szCs w:val="20"/>
        </w:rPr>
        <w:t xml:space="preserve"> </w:t>
      </w:r>
    </w:p>
    <w:p w14:paraId="75E0472F" w14:textId="77777777" w:rsidR="00EF7CE3" w:rsidRDefault="00EF7CE3" w:rsidP="00EF7CE3">
      <w:pPr>
        <w:numPr>
          <w:ilvl w:val="0"/>
          <w:numId w:val="5"/>
        </w:numPr>
        <w:spacing w:line="360" w:lineRule="auto"/>
        <w:ind w:left="425" w:hanging="357"/>
        <w:rPr>
          <w:rFonts w:cs="Arial"/>
          <w:szCs w:val="20"/>
        </w:rPr>
      </w:pPr>
      <w:r>
        <w:rPr>
          <w:rFonts w:cs="Arial"/>
          <w:szCs w:val="20"/>
        </w:rPr>
        <w:t xml:space="preserve">Úřad práce ČR – sociální poradce: </w:t>
      </w:r>
      <w:hyperlink r:id="rId26" w:history="1">
        <w:r>
          <w:rPr>
            <w:rStyle w:val="Hypertextovodkaz"/>
            <w:rFonts w:cs="Arial"/>
            <w:szCs w:val="20"/>
          </w:rPr>
          <w:t>https://www.uradprace.cz/web/cz/socialni-poradce</w:t>
        </w:r>
      </w:hyperlink>
      <w:r>
        <w:rPr>
          <w:rFonts w:cs="Arial"/>
          <w:szCs w:val="20"/>
        </w:rPr>
        <w:t xml:space="preserve"> </w:t>
      </w:r>
    </w:p>
    <w:p w14:paraId="3817CE43" w14:textId="77777777" w:rsidR="00EF7CE3" w:rsidRDefault="00EF7CE3" w:rsidP="00EF7CE3">
      <w:pPr>
        <w:spacing w:after="0" w:line="360" w:lineRule="auto"/>
        <w:ind w:left="68"/>
      </w:pPr>
    </w:p>
    <w:p w14:paraId="0450A14F" w14:textId="77777777" w:rsidR="00EF7CE3" w:rsidRDefault="00EF7CE3" w:rsidP="00EF7CE3">
      <w:pPr>
        <w:spacing w:after="0" w:line="360" w:lineRule="auto"/>
      </w:pPr>
    </w:p>
    <w:p w14:paraId="2448F352" w14:textId="77777777" w:rsidR="0094484F" w:rsidRDefault="0094484F" w:rsidP="0094484F">
      <w:pPr>
        <w:spacing w:after="0" w:line="360" w:lineRule="auto"/>
        <w:ind w:left="425"/>
        <w:contextualSpacing w:val="0"/>
      </w:pPr>
    </w:p>
    <w:p w14:paraId="1DAB5D4B" w14:textId="77777777" w:rsidR="00F4384B" w:rsidRDefault="00F4384B"/>
    <w:sectPr w:rsidR="00F4384B" w:rsidSect="00702C0D">
      <w:footerReference w:type="default" r:id="rId27"/>
      <w:headerReference w:type="first" r:id="rId28"/>
      <w:footerReference w:type="first" r:id="rId2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A0445" w14:textId="77777777" w:rsidR="00E51110" w:rsidRDefault="00E51110">
      <w:pPr>
        <w:spacing w:after="0" w:line="240" w:lineRule="auto"/>
      </w:pPr>
      <w:r>
        <w:separator/>
      </w:r>
    </w:p>
  </w:endnote>
  <w:endnote w:type="continuationSeparator" w:id="0">
    <w:p w14:paraId="31534B1E" w14:textId="77777777" w:rsidR="00E51110" w:rsidRDefault="00E5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4F83C" w14:textId="77777777" w:rsidR="000863AC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3214110E" w14:textId="77777777" w:rsidR="000863AC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6DF1848" w14:textId="77777777" w:rsidR="00B833E0" w:rsidRPr="00B53059" w:rsidRDefault="0094484F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CA6B" w14:textId="77777777" w:rsidR="000863AC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4AFC50D9" w14:textId="77777777" w:rsidR="000863AC" w:rsidRPr="00B53059" w:rsidRDefault="0094484F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CB676D6" w14:textId="77777777" w:rsidR="00F11270" w:rsidRPr="000863AC" w:rsidRDefault="0094484F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A16DB" w14:textId="77777777" w:rsidR="00E51110" w:rsidRDefault="00E51110">
      <w:pPr>
        <w:spacing w:after="0" w:line="240" w:lineRule="auto"/>
      </w:pPr>
      <w:r>
        <w:separator/>
      </w:r>
    </w:p>
  </w:footnote>
  <w:footnote w:type="continuationSeparator" w:id="0">
    <w:p w14:paraId="783F382A" w14:textId="77777777" w:rsidR="00E51110" w:rsidRDefault="00E5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B661C" w14:textId="77777777" w:rsidR="00F15613" w:rsidRDefault="0094484F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B75EB11" wp14:editId="45C79057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13F9370B" wp14:editId="5AC167E0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ACC"/>
    <w:multiLevelType w:val="hybridMultilevel"/>
    <w:tmpl w:val="D1426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4F"/>
    <w:rsid w:val="007165EC"/>
    <w:rsid w:val="0094484F"/>
    <w:rsid w:val="00B158A4"/>
    <w:rsid w:val="00E51110"/>
    <w:rsid w:val="00EF7CE3"/>
    <w:rsid w:val="00F4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568F"/>
  <w15:chartTrackingRefBased/>
  <w15:docId w15:val="{860561AC-ACA5-4F89-A993-A313FC36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94484F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4484F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4484F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94484F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4484F"/>
    <w:rPr>
      <w:rFonts w:ascii="Arial" w:eastAsia="Calibri" w:hAnsi="Arial" w:cs="Times New Roman"/>
      <w:color w:val="4F4C4D"/>
      <w:sz w:val="16"/>
    </w:rPr>
  </w:style>
  <w:style w:type="paragraph" w:styleId="Odstavecseseznamem">
    <w:name w:val="List Paragraph"/>
    <w:basedOn w:val="Normln"/>
    <w:uiPriority w:val="34"/>
    <w:qFormat/>
    <w:rsid w:val="0094484F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7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aple.cz" TargetMode="External"/><Relationship Id="rId13" Type="http://schemas.openxmlformats.org/officeDocument/2006/relationships/hyperlink" Target="http://www.diab.cz" TargetMode="External"/><Relationship Id="rId18" Type="http://schemas.openxmlformats.org/officeDocument/2006/relationships/hyperlink" Target="http://www.nrzp.cz" TargetMode="External"/><Relationship Id="rId26" Type="http://schemas.openxmlformats.org/officeDocument/2006/relationships/hyperlink" Target="https://www.uradprace.cz/web/cz/socialni-poradc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olecnost-e.cz" TargetMode="External"/><Relationship Id="rId7" Type="http://schemas.openxmlformats.org/officeDocument/2006/relationships/hyperlink" Target="http://www.agapo.cz" TargetMode="External"/><Relationship Id="rId12" Type="http://schemas.openxmlformats.org/officeDocument/2006/relationships/hyperlink" Target="http://www.caths.cz" TargetMode="External"/><Relationship Id="rId17" Type="http://schemas.openxmlformats.org/officeDocument/2006/relationships/hyperlink" Target="http://www.nfozp.cz" TargetMode="External"/><Relationship Id="rId25" Type="http://schemas.openxmlformats.org/officeDocument/2006/relationships/hyperlink" Target="http://www.roska.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psv.cz/web/cz/pruvodce" TargetMode="External"/><Relationship Id="rId20" Type="http://schemas.openxmlformats.org/officeDocument/2006/relationships/hyperlink" Target="http://www.somspol.wz.cz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zacna-onemocneni.cz" TargetMode="External"/><Relationship Id="rId24" Type="http://schemas.openxmlformats.org/officeDocument/2006/relationships/hyperlink" Target="http://www.svaztp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gavozic.cz" TargetMode="External"/><Relationship Id="rId23" Type="http://schemas.openxmlformats.org/officeDocument/2006/relationships/hyperlink" Target="http://www.diabetes.cz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vozejkov.cz" TargetMode="External"/><Relationship Id="rId19" Type="http://schemas.openxmlformats.org/officeDocument/2006/relationships/hyperlink" Target="http://www.dmoinfo.cz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zepa.cz" TargetMode="External"/><Relationship Id="rId14" Type="http://schemas.openxmlformats.org/officeDocument/2006/relationships/hyperlink" Target="http://www.spastic.cz" TargetMode="External"/><Relationship Id="rId22" Type="http://schemas.openxmlformats.org/officeDocument/2006/relationships/hyperlink" Target="http://www.trendvozickaru.cz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1589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Ruzickova Veronika</cp:lastModifiedBy>
  <cp:revision>2</cp:revision>
  <dcterms:created xsi:type="dcterms:W3CDTF">2020-10-30T21:12:00Z</dcterms:created>
  <dcterms:modified xsi:type="dcterms:W3CDTF">2020-10-30T21:12:00Z</dcterms:modified>
</cp:coreProperties>
</file>