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:rsidR="003B14AD" w:rsidRDefault="003B14AD" w:rsidP="003B14AD">
      <w:pPr>
        <w:spacing w:after="0" w:line="360" w:lineRule="auto"/>
      </w:pPr>
    </w:p>
    <w:p w:rsidR="003B14AD" w:rsidRDefault="003B14AD" w:rsidP="003B14AD">
      <w:pPr>
        <w:spacing w:after="0" w:line="360" w:lineRule="auto"/>
      </w:pPr>
    </w:p>
    <w:p w:rsidR="00BC61BC" w:rsidRPr="00BC61BC" w:rsidRDefault="003B14AD" w:rsidP="00BC61BC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Název předmětu </w:t>
      </w:r>
      <w:r w:rsidR="00F817AE" w:rsidRPr="00F817AE">
        <w:rPr>
          <w:rFonts w:eastAsia="Times New Roman" w:cs="Arial"/>
          <w:szCs w:val="20"/>
          <w:lang w:eastAsia="cs-CZ"/>
        </w:rPr>
        <w:t>Didaktika a metodika výchovné práce v etopedii</w:t>
      </w:r>
    </w:p>
    <w:p w:rsidR="003B14AD" w:rsidRPr="00355FC2" w:rsidRDefault="003B14AD" w:rsidP="003B14AD">
      <w:pPr>
        <w:spacing w:after="0" w:line="360" w:lineRule="auto"/>
        <w:rPr>
          <w:b/>
          <w:bCs/>
        </w:rPr>
      </w:pPr>
    </w:p>
    <w:p w:rsidR="003B14AD" w:rsidRDefault="003B14AD" w:rsidP="003B14AD">
      <w:pPr>
        <w:spacing w:after="0" w:line="360" w:lineRule="auto"/>
      </w:pPr>
    </w:p>
    <w:p w:rsidR="00BC61BC" w:rsidRPr="00BC61BC" w:rsidRDefault="003B14AD" w:rsidP="00BC61BC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Zkratka předmětu SZZ: </w:t>
      </w:r>
      <w:r w:rsidR="00BC61BC" w:rsidRPr="00BC61BC">
        <w:rPr>
          <w:rFonts w:eastAsia="Times New Roman" w:cs="Arial"/>
          <w:szCs w:val="20"/>
          <w:lang w:eastAsia="cs-CZ"/>
        </w:rPr>
        <w:t>USS/SZ</w:t>
      </w:r>
      <w:r w:rsidR="00F817AE">
        <w:rPr>
          <w:rFonts w:eastAsia="Times New Roman" w:cs="Arial"/>
          <w:szCs w:val="20"/>
          <w:lang w:eastAsia="cs-CZ"/>
        </w:rPr>
        <w:t>ZVE</w:t>
      </w:r>
      <w:bookmarkStart w:id="0" w:name="_GoBack"/>
      <w:bookmarkEnd w:id="0"/>
    </w:p>
    <w:p w:rsidR="003B14AD" w:rsidRPr="00355FC2" w:rsidRDefault="003B14AD" w:rsidP="003B14AD">
      <w:pPr>
        <w:spacing w:after="0" w:line="360" w:lineRule="auto"/>
      </w:pPr>
    </w:p>
    <w:p w:rsidR="003B14AD" w:rsidRDefault="003B14AD" w:rsidP="003B14AD">
      <w:pPr>
        <w:spacing w:after="0" w:line="360" w:lineRule="auto"/>
      </w:pPr>
    </w:p>
    <w:p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Koncepce etopedie – vymezení, cíle, předmět, užší a širší kontext, základní terminologie, psychosociální ohrožení a narušení, cílové skupiny, mezioborové přesahy. Vývoj a profilace oboru, současné koncepce.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Historický vývoj v přístupech k osobám s psychosociálním ohrožením a narušením, osobnosti. Cílové skupiny oboru v historii a současnosti.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Morálka a morální vývoj v kontextu vývojových etap člověka, terminologie, </w:t>
      </w:r>
      <w:proofErr w:type="spellStart"/>
      <w:r w:rsidRPr="00793E35">
        <w:rPr>
          <w:rFonts w:ascii="Times New Roman" w:hAnsi="Times New Roman"/>
          <w:color w:val="000000" w:themeColor="text1"/>
          <w:sz w:val="24"/>
          <w:szCs w:val="24"/>
        </w:rPr>
        <w:t>Piagetova</w:t>
      </w:r>
      <w:proofErr w:type="spell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stadia, </w:t>
      </w:r>
      <w:proofErr w:type="spellStart"/>
      <w:r w:rsidRPr="00793E35">
        <w:rPr>
          <w:rFonts w:ascii="Times New Roman" w:hAnsi="Times New Roman"/>
          <w:color w:val="000000" w:themeColor="text1"/>
          <w:sz w:val="24"/>
          <w:szCs w:val="24"/>
        </w:rPr>
        <w:t>Kohlbergovy</w:t>
      </w:r>
      <w:proofErr w:type="spell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stupně a etapy a jejich praktická využitelnost. 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Systém a organizace zařízení pro osoby cílové skupiny v ČR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–  preventivní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>, poradenská, výchovně-vzdělávací, sociální, terapeutická, represivní. Resortní a meziresortní přístupy.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Rodina jako rizikový faktor vzniku poruch chování, funkce rodiny, právní úprava vztahů v rodině, manželství, vztahy mezi rodiči a dětmi, výživné, náhradní rodinná výchova.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Trestní odpovědnost, vznik, specifika postavení nezletilých a mladistvých v trestním právu, instituty zákona o soudnictví ve věcech mládeže. 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Ústavní a ochranná výchova, právní 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rámec  výkonu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,  vztahy zařízení a dětí, práva a povinnosti, specifika a rizikové faktory, specifika pedagogické práce (intervence, reedukační, terapeutické, zážitková pedagogika). 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Sociální a 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psychologické  faktory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vzniku poruch chování, výkon sociálně právní ochrany dětí a mládeže u nás, instituty zákona o sociálně-právní ochraně dětí a mládeže. 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Poruchy chování – terminologické vymezení, definice a diagnostická 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kritéria  poruch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chování dle mezinárodních klasifikačních systémů, možnosti intervence.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lastRenderedPageBreak/>
        <w:t>Specifické poruchy chování – terminologické vymezení, definice a diagnostická kritéria dle mezinárodních klasifikačních systémů, možnosti intervence.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Sociokulturní znevýhodnění, sociální vyloučení, (včetně fenoménu bezdomovectví), příčiny, prevence, projevy,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intervenční 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program,  specifika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romské rodiny v minulosti a v současnosti. 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Projevy problémového chování a poruchy chování jako důsledek psychické deprivace a jejich manifestace v dospělosti. 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Poruchy chování a osobnosti jako důsledek emoční či jiné psychické poruchy. </w:t>
      </w:r>
    </w:p>
    <w:p w:rsidR="00BC61BC" w:rsidRPr="00793E35" w:rsidRDefault="00BC61BC" w:rsidP="00BC61B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Syndrom CAN, terminologické vymezení, příčiny, definice, projevy, možnosti intervence a prevence, právní aspekty.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Alkohol a tabák, závislost a rozvoj závislosti, systém péče o uživatele, právní úprava ve vztahu k dětem a mládeži. </w:t>
      </w:r>
      <w:proofErr w:type="spellStart"/>
      <w:r w:rsidRPr="00793E35">
        <w:rPr>
          <w:rFonts w:ascii="Times New Roman" w:hAnsi="Times New Roman"/>
          <w:color w:val="000000" w:themeColor="text1"/>
          <w:sz w:val="24"/>
          <w:szCs w:val="24"/>
        </w:rPr>
        <w:t>Adiktologické</w:t>
      </w:r>
      <w:proofErr w:type="spell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aspekty fenoménu.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Nealkoholové drogy, rozdělení, závislost a rozvoj závislosti, systém péče o </w:t>
      </w:r>
      <w:r w:rsidRPr="00793E35">
        <w:rPr>
          <w:rFonts w:ascii="Times New Roman" w:hAnsi="Times New Roman"/>
          <w:color w:val="000000" w:themeColor="text1"/>
          <w:sz w:val="24"/>
          <w:szCs w:val="24"/>
        </w:rPr>
        <w:t>uživatele, právní</w:t>
      </w: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úprava. </w:t>
      </w:r>
      <w:proofErr w:type="spellStart"/>
      <w:r w:rsidRPr="00793E35">
        <w:rPr>
          <w:rFonts w:ascii="Times New Roman" w:hAnsi="Times New Roman"/>
          <w:color w:val="000000" w:themeColor="text1"/>
          <w:sz w:val="24"/>
          <w:szCs w:val="24"/>
        </w:rPr>
        <w:t>Adiktologické</w:t>
      </w:r>
      <w:proofErr w:type="spell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aspekty fenoménu.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Intervence poradenská, rozhovor jako základní nástroj, problém a nositel problému, individuální práce a práce s rodinou.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Intervence terapeutická, individuální práce, práce se skupinou, (psychoterapie, socioterapie, expresivní (kreativní) terapie – možnosti využití).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Etické aspekty profese etopeda, principy pomáhání, profesní kompetence, prevence syndromu vyhoření.</w:t>
      </w:r>
    </w:p>
    <w:p w:rsidR="00BC61BC" w:rsidRPr="00793E35" w:rsidRDefault="00BC61BC" w:rsidP="00BC61BC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Alternativní </w:t>
      </w:r>
      <w:r w:rsidRPr="00793E35">
        <w:rPr>
          <w:rFonts w:ascii="Times New Roman" w:hAnsi="Times New Roman"/>
          <w:color w:val="000000" w:themeColor="text1"/>
          <w:sz w:val="24"/>
          <w:szCs w:val="24"/>
        </w:rPr>
        <w:t>tresty, probace</w:t>
      </w: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a mediace v ČR, mediace jako způsob řešení konfliktů, specifika v trestním a netrestním řízení.</w:t>
      </w:r>
    </w:p>
    <w:p w:rsidR="00BC61BC" w:rsidRPr="00793E35" w:rsidRDefault="00BC61BC" w:rsidP="00BC61BC">
      <w:pPr>
        <w:pStyle w:val="Nzev"/>
        <w:numPr>
          <w:ilvl w:val="0"/>
          <w:numId w:val="5"/>
        </w:numPr>
        <w:spacing w:after="0"/>
        <w:ind w:firstLine="0"/>
        <w:contextualSpacing w:val="0"/>
        <w:rPr>
          <w:b/>
          <w:bCs/>
          <w:color w:val="000000" w:themeColor="text1"/>
          <w:sz w:val="24"/>
          <w:szCs w:val="24"/>
        </w:rPr>
      </w:pPr>
      <w:r w:rsidRPr="00793E35">
        <w:rPr>
          <w:color w:val="000000" w:themeColor="text1"/>
          <w:sz w:val="24"/>
          <w:szCs w:val="24"/>
        </w:rPr>
        <w:t xml:space="preserve">Pojem penologie, předmět, penologie a vztah k jiným oborům. Druhy trestů podle zákona č.40/2009. Vymezení </w:t>
      </w:r>
      <w:proofErr w:type="spellStart"/>
      <w:r w:rsidRPr="00793E35">
        <w:rPr>
          <w:color w:val="000000" w:themeColor="text1"/>
          <w:sz w:val="24"/>
          <w:szCs w:val="24"/>
        </w:rPr>
        <w:t>resocialozace</w:t>
      </w:r>
      <w:proofErr w:type="spellEnd"/>
      <w:r w:rsidRPr="00793E35">
        <w:rPr>
          <w:color w:val="000000" w:themeColor="text1"/>
          <w:sz w:val="24"/>
          <w:szCs w:val="24"/>
        </w:rPr>
        <w:t xml:space="preserve"> její předměty a cíle v trestech odnětí svobody.</w:t>
      </w:r>
    </w:p>
    <w:p w:rsidR="00BC61BC" w:rsidRPr="00793E35" w:rsidRDefault="00BC61BC" w:rsidP="00BC61BC">
      <w:pPr>
        <w:pStyle w:val="Nzev"/>
        <w:numPr>
          <w:ilvl w:val="0"/>
          <w:numId w:val="5"/>
        </w:numPr>
        <w:spacing w:after="0"/>
        <w:ind w:firstLine="0"/>
        <w:contextualSpacing w:val="0"/>
        <w:rPr>
          <w:color w:val="000000" w:themeColor="text1"/>
          <w:sz w:val="24"/>
          <w:szCs w:val="24"/>
        </w:rPr>
      </w:pPr>
      <w:r w:rsidRPr="00793E35">
        <w:rPr>
          <w:color w:val="000000" w:themeColor="text1"/>
          <w:sz w:val="24"/>
          <w:szCs w:val="24"/>
        </w:rPr>
        <w:t xml:space="preserve">Programy zacházení s odsouzenými pachateli trestných činů k výkonu trestu odnětí svobody a jejich stručná charakteristika. </w:t>
      </w:r>
      <w:proofErr w:type="spellStart"/>
      <w:r w:rsidRPr="00793E35">
        <w:rPr>
          <w:color w:val="000000" w:themeColor="text1"/>
          <w:sz w:val="24"/>
          <w:szCs w:val="24"/>
        </w:rPr>
        <w:t>Prisonizace</w:t>
      </w:r>
      <w:proofErr w:type="spellEnd"/>
      <w:r w:rsidRPr="00793E35">
        <w:rPr>
          <w:color w:val="000000" w:themeColor="text1"/>
          <w:sz w:val="24"/>
          <w:szCs w:val="24"/>
        </w:rPr>
        <w:t>, institucionalizace.  Postpenitenciární péče.</w:t>
      </w:r>
    </w:p>
    <w:p w:rsidR="003B14AD" w:rsidRDefault="003B14AD" w:rsidP="003B14AD">
      <w:pPr>
        <w:spacing w:after="0" w:line="360" w:lineRule="auto"/>
        <w:contextualSpacing w:val="0"/>
      </w:pPr>
    </w:p>
    <w:p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BENDL, S. 2011.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Kázeňské problémy ve škole.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Triton. ISBN 978-80-7387-436-0.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BOWLBY, J. 2010.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Vazba. 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978-80-262-7367-4.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BOWLBY, J. 2012.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Odloučení. 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978-80-262-0076-</w:t>
      </w:r>
      <w:proofErr w:type="gramStart"/>
      <w:r w:rsidRPr="00BC61BC">
        <w:rPr>
          <w:rFonts w:ascii="Times New Roman" w:hAnsi="Times New Roman"/>
          <w:color w:val="000000" w:themeColor="text1"/>
          <w:sz w:val="24"/>
          <w:szCs w:val="24"/>
        </w:rPr>
        <w:t>5..</w:t>
      </w:r>
      <w:proofErr w:type="gramEnd"/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BOWLBY, J. 2012.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Ztráta. 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978-80-262-0355-1.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ČAPEK, R. 2015.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Odměny a tresty ve školní praxi.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ISBN 978-80-247-1718-0.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ČAPEK, R. 2011.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Třídní klima a školní klima.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ISBN 978-80-247-2472-4.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ČERNÁ, A.  (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ed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.) 2013. 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Kyberšikana.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JUCOVIČOVÁ, D., ŽÁČKOVÁ, H. 2010.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Neklidné a nesoustředěné dítě ve škole a v rodině.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..</w:t>
      </w:r>
      <w:proofErr w:type="gram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ISBN 978-80-247-2697-7.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JEDLIČKA, R. a kol. 2015.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Poruchy socializace u dětí.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Praha. Grada 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>. ISBN 978-80-247-5447-5.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JUCOVIČOVÁ, D., ŽÁČKOVÁ, H. 2017.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Nepozornost, hyperaktivita a impulzivita.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..</w:t>
      </w:r>
      <w:proofErr w:type="gram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KALINA, K. 2013.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Psychoterapeutické systémy a jejich uplatnění v adiktologii.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Praha: Grada </w:t>
      </w:r>
      <w:proofErr w:type="spell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KOLÁŘ, M. 2011.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Nová cesta k léčbě šikany.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Praha: Portál.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ISBN 978-7667-871-5.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MATĚJČEK, Z. 2011.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Praxe dětského psychologického poradenství.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978-80-262-0000-0.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suppressAutoHyphens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MIOVSKÝ, M.; SKÁCELOVÁ, L.; ZAPLETALOVÁ, J.; NOVÁK, P. (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eds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.) 2016.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Prevence rizikového chování ve školství.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1. vyd. Praha: Sdružení SCAN, Univerzita Karlova v Praze &amp; 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Togga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ISBN 978-80-87258-47-7.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suppressAutoHyphens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MILGRAM, S. 2017.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Poslušnost vůči autoritě.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978-262-1238-6.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suppressAutoHyphens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NEŠPOR, K. 2018.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Návykové chování a závislost.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978-80-262-1357-4.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OAKLANDER, V. (2010). </w:t>
      </w:r>
      <w:r w:rsidRPr="00BC61B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Třinácté komnaty dětské duše.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Dobříš: Drvoštěp. ISBN 80-903306-0-6.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POLÍNEK, </w:t>
      </w:r>
      <w:proofErr w:type="gramStart"/>
      <w:r w:rsidRPr="00BC61BC">
        <w:rPr>
          <w:rFonts w:ascii="Times New Roman" w:hAnsi="Times New Roman"/>
          <w:color w:val="000000" w:themeColor="text1"/>
          <w:sz w:val="24"/>
          <w:szCs w:val="24"/>
        </w:rPr>
        <w:t>M .</w:t>
      </w:r>
      <w:proofErr w:type="gram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D.  2015.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Tvořivost (nejen) jako prevence rizikového chování.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Olomouc: Univerzita Palackého v Olomouci. ISBN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978-80-244-4842-8.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POTHE, P. 2013.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Emoční poruchy v dětství a dospívání.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PUGNEROVÁ, M., KVINTOVÁ, J. 2016.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Přehled poruch psychického vývoje.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Praha: Grada </w:t>
      </w:r>
      <w:proofErr w:type="spell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ROUBAL, J., VYBÍRAL, Z. 2010.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Současná psychoterapie.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Praha: Portál. 978-80-7367-682-7.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SVOBODA, M. (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ed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.) 2015.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Psychopatologie a psychiatrie.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978-80-262-0976-8.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ŘÍČAN, P., KREJČÍŘOVÁ, D. a kol.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Dětská klinická psychologie.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2006. 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..</w:t>
      </w:r>
      <w:proofErr w:type="gram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ISBN 978-80-247-1049-5.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OLWEUS, D. 2005.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Bullying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at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School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What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we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know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and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What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we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>can</w:t>
      </w:r>
      <w:proofErr w:type="spellEnd"/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Oxford: 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Blackwell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C61BC">
        <w:rPr>
          <w:rFonts w:ascii="Times New Roman" w:hAnsi="Times New Roman"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color w:val="000000" w:themeColor="text1"/>
          <w:sz w:val="24"/>
          <w:szCs w:val="24"/>
        </w:rPr>
        <w:t>.  ISBN 063-11924-17.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KALINA, K. 2008.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Základy klinické adiktologie.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Praha.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ŠKOVIERA, A. 2007. 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Dilemata náhradní výchovy.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978-80-73-67-318-5.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 xml:space="preserve">HORT, V. a kol. 2008. </w:t>
      </w:r>
      <w:r w:rsidRPr="00BC61BC">
        <w:rPr>
          <w:rFonts w:ascii="Times New Roman" w:hAnsi="Times New Roman"/>
          <w:i/>
          <w:color w:val="000000" w:themeColor="text1"/>
          <w:sz w:val="24"/>
          <w:szCs w:val="24"/>
        </w:rPr>
        <w:t xml:space="preserve">Dětská a adolescentní psychiatrie.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Praha: Portál. ISBN 80-7178-472-9.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ŘÍČAN, P., KREJČÍŘOVÁ, D. a kol.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Dětská klinická psychologie.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2006. Praha: Grada </w:t>
      </w:r>
      <w:proofErr w:type="spellStart"/>
      <w:proofErr w:type="gram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..</w:t>
      </w:r>
      <w:proofErr w:type="gram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ISBN 978-80-247-1049-5.</w:t>
      </w:r>
    </w:p>
    <w:p w:rsidR="00BC61BC" w:rsidRPr="00BC61BC" w:rsidRDefault="00BC61BC" w:rsidP="00BC61BC">
      <w:pPr>
        <w:pStyle w:val="Odstavecseseznamem"/>
        <w:numPr>
          <w:ilvl w:val="0"/>
          <w:numId w:val="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PACLT, I. a kol. 2007.  </w:t>
      </w:r>
      <w:r w:rsidRPr="00BC61BC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Hyperkinetická porucha a porucha chování. </w:t>
      </w:r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Praha: Grada </w:t>
      </w:r>
      <w:proofErr w:type="spellStart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>Publishing</w:t>
      </w:r>
      <w:proofErr w:type="spellEnd"/>
      <w:r w:rsidRPr="00BC61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., 2007. 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>ISBN 978-80-247-1426-4.</w:t>
      </w:r>
    </w:p>
    <w:p w:rsidR="00BC61BC" w:rsidRPr="00793E35" w:rsidRDefault="00BC61BC" w:rsidP="00BC61BC">
      <w:pPr>
        <w:tabs>
          <w:tab w:val="num" w:pos="72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3B14AD" w:rsidRDefault="003B14AD" w:rsidP="00BC61BC">
      <w:pPr>
        <w:spacing w:after="0" w:line="360" w:lineRule="auto"/>
        <w:contextualSpacing w:val="0"/>
      </w:pPr>
    </w:p>
    <w:p w:rsidR="003B14AD" w:rsidRDefault="003B14AD" w:rsidP="003B14AD">
      <w:pPr>
        <w:spacing w:after="0" w:line="360" w:lineRule="auto"/>
        <w:contextualSpacing w:val="0"/>
      </w:pPr>
    </w:p>
    <w:p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REGIONÁLNÍ ŠKOLSTVÍ</w:t>
      </w:r>
    </w:p>
    <w:p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561/2004 Sb. o předškolním, základním, středním a vyšším odborném a jiném vzdělávání (školský zákon)</w:t>
      </w:r>
    </w:p>
    <w:p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563/2005 Sb. o pedagogických pracovnících</w:t>
      </w:r>
    </w:p>
    <w:p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lastRenderedPageBreak/>
        <w:t>Vyhláška č. 72/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2005  Sb.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o poskytování poradenských služeb ve školách a školských poradenských zařízeních</w:t>
      </w:r>
    </w:p>
    <w:p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Vyhláška č. 27/2015 Sb. o vzdělávání žáků se speciálními vzdělávacími potřebami a žáků nadaných</w:t>
      </w:r>
    </w:p>
    <w:p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Vyhláška č. 108/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2005  Sb.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o školských výchovných a ubytovacích zařízeních a školských účelových zařízeních</w:t>
      </w:r>
    </w:p>
    <w:p w:rsidR="00BC61BC" w:rsidRPr="00793E35" w:rsidRDefault="00BC61BC" w:rsidP="00BC61B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Vyhláška č. 317/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2005  o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 dalším vzdělávání pedagogických pracovníků, akreditační komisi a kariérním systému pedagogických pracovníků</w:t>
      </w:r>
    </w:p>
    <w:p w:rsidR="00BC61BC" w:rsidRPr="00793E35" w:rsidRDefault="00BC61BC" w:rsidP="00BC61B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VÝKON ÚSTAVNÍ A OCHRANNÉ VÝCHOVY A PREVENTIVNĚ VÝCHOVNÉ PÉČE</w:t>
      </w:r>
    </w:p>
    <w:p w:rsidR="00BC61BC" w:rsidRPr="00793E35" w:rsidRDefault="00BC61BC" w:rsidP="00BC61B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č. 109/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2002  Sb.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>, o výkonu ústavní výchovy nebo ochranné výchovy ve školských zařízeních a o preventivně výchovné péči ve školských zařízeních a o změně dalších zákonů</w:t>
      </w:r>
    </w:p>
    <w:p w:rsidR="00BC61BC" w:rsidRPr="00793E35" w:rsidRDefault="00BC61BC" w:rsidP="00BC61B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Vyhláška č. 334/2003 Sb., kterou se upravují podrobnosti výkonu ústavní výchovy a ochranné výchovy ve školských zařízeních </w:t>
      </w:r>
    </w:p>
    <w:p w:rsidR="00BC61BC" w:rsidRPr="00793E35" w:rsidRDefault="00BC61BC" w:rsidP="00BC61B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BC61BC" w:rsidRPr="00BC61BC" w:rsidRDefault="00BC61BC" w:rsidP="00BC61BC">
      <w:pPr>
        <w:pStyle w:val="Odstavecseseznamem"/>
        <w:numPr>
          <w:ilvl w:val="0"/>
          <w:numId w:val="14"/>
        </w:numPr>
        <w:tabs>
          <w:tab w:val="left" w:pos="3075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RODINNÉ PRÁVO</w:t>
      </w:r>
      <w:r w:rsidRPr="00BC61BC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BC61BC" w:rsidRPr="00793E35" w:rsidRDefault="00BC61BC" w:rsidP="00BC61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89/2012 Sb. občanský zákoník</w:t>
      </w:r>
    </w:p>
    <w:p w:rsidR="00BC61BC" w:rsidRPr="00793E35" w:rsidRDefault="00BC61BC" w:rsidP="00BC61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359/1999 Sb., o sociálně-právní ochraně dětí</w:t>
      </w:r>
    </w:p>
    <w:p w:rsidR="00BC61BC" w:rsidRPr="00793E35" w:rsidRDefault="00BC61BC" w:rsidP="00BC61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SOCIÁLNĚ-PRÁVNÍ OCHRANA DĚTÍ</w:t>
      </w:r>
    </w:p>
    <w:p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Zákon č. 359/1999 Sb. o sociálně-právní ochraně dětí </w:t>
      </w:r>
    </w:p>
    <w:p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200/1990 Sb. o přestupcích</w:t>
      </w:r>
    </w:p>
    <w:p w:rsidR="00BC61BC" w:rsidRPr="00793E35" w:rsidRDefault="00BC61BC" w:rsidP="00BC61B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TRESTNÍ PRÁVO</w:t>
      </w:r>
    </w:p>
    <w:p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40/2009 trestní zákoník</w:t>
      </w:r>
    </w:p>
    <w:p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169/1999 o výkonu trestu odnětí svobody</w:t>
      </w:r>
    </w:p>
    <w:p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129/2008 o výkonu zabezpečovací detence</w:t>
      </w:r>
    </w:p>
    <w:p w:rsidR="00BC61BC" w:rsidRPr="00793E35" w:rsidRDefault="00BC61BC" w:rsidP="00BC6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218/2003 zákon o odpovědnosti mládeže za protiprávní činy a o soudnictví ve věcech mládeže a o změně některých zákonů (zákon o soudnictví ve věcech mládeže)</w:t>
      </w:r>
    </w:p>
    <w:p w:rsidR="00BC61BC" w:rsidRPr="00793E35" w:rsidRDefault="00BC61BC" w:rsidP="00BC61B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olor w:val="000000" w:themeColor="text1"/>
          <w:sz w:val="24"/>
          <w:szCs w:val="24"/>
        </w:rPr>
        <w:t>ÚSTAVNÍ PRÁVO</w:t>
      </w:r>
    </w:p>
    <w:p w:rsidR="00BC61BC" w:rsidRPr="00793E35" w:rsidRDefault="00BC61BC" w:rsidP="00BC61B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1/1993 Ústava České republiky (obecná ustanovení)</w:t>
      </w:r>
    </w:p>
    <w:p w:rsidR="00BC61BC" w:rsidRPr="00793E35" w:rsidRDefault="00BC61BC" w:rsidP="00BC61B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č. 2/1993 Listina základních práv a svobod</w:t>
      </w:r>
    </w:p>
    <w:p w:rsidR="00BC61BC" w:rsidRPr="00793E35" w:rsidRDefault="00BC61BC" w:rsidP="00BC61B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aps/>
          <w:color w:val="000000" w:themeColor="text1"/>
          <w:sz w:val="24"/>
          <w:szCs w:val="24"/>
        </w:rPr>
        <w:t>Uprchlictví a azyl</w:t>
      </w:r>
    </w:p>
    <w:p w:rsidR="00BC61BC" w:rsidRPr="00793E35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Úmluva o právním postavení </w:t>
      </w:r>
      <w:proofErr w:type="gramStart"/>
      <w:r w:rsidRPr="00793E35">
        <w:rPr>
          <w:rFonts w:ascii="Times New Roman" w:hAnsi="Times New Roman"/>
          <w:color w:val="000000" w:themeColor="text1"/>
          <w:sz w:val="24"/>
          <w:szCs w:val="24"/>
        </w:rPr>
        <w:t>uprchlíků,  (</w:t>
      </w:r>
      <w:proofErr w:type="gramEnd"/>
      <w:r w:rsidRPr="00793E35">
        <w:rPr>
          <w:rFonts w:ascii="Times New Roman" w:hAnsi="Times New Roman"/>
          <w:color w:val="000000" w:themeColor="text1"/>
          <w:sz w:val="24"/>
          <w:szCs w:val="24"/>
        </w:rPr>
        <w:t>sdělení FMZV č. 208/1993 Sb.)</w:t>
      </w:r>
    </w:p>
    <w:p w:rsidR="00BC61BC" w:rsidRPr="00793E35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325/1999 Sb. o azylu</w:t>
      </w:r>
    </w:p>
    <w:p w:rsidR="00BC61BC" w:rsidRPr="00793E35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Zákon č. 326/1999 Sb. o pobytu cizinců na území ČR </w:t>
      </w:r>
    </w:p>
    <w:p w:rsidR="00BC61BC" w:rsidRPr="00793E35" w:rsidRDefault="00BC61BC" w:rsidP="00BC61B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Zákon č. 221/2003 Sb. o dočasné ochraně cizinců</w:t>
      </w:r>
    </w:p>
    <w:p w:rsidR="00BC61BC" w:rsidRPr="00793E35" w:rsidRDefault="00BC61BC" w:rsidP="00BC61B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BC61BC" w:rsidRPr="00BC61BC" w:rsidRDefault="00BC61BC" w:rsidP="00BC61B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BC61BC">
        <w:rPr>
          <w:rFonts w:ascii="Times New Roman" w:hAnsi="Times New Roman"/>
          <w:caps/>
          <w:color w:val="000000" w:themeColor="text1"/>
          <w:sz w:val="24"/>
          <w:szCs w:val="24"/>
        </w:rPr>
        <w:t>Metodická doporučení MŠMT</w:t>
      </w:r>
    </w:p>
    <w:p w:rsidR="00BC61BC" w:rsidRPr="00793E35" w:rsidRDefault="00BC61BC" w:rsidP="00BC61BC">
      <w:pPr>
        <w:pStyle w:val="Prosttext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 xml:space="preserve">Metodický pokyn k prevenci a řešení šikanování mezi žáky, </w:t>
      </w:r>
    </w:p>
    <w:p w:rsidR="00BC61BC" w:rsidRPr="00793E35" w:rsidRDefault="00BC61BC" w:rsidP="00BC61BC">
      <w:pPr>
        <w:pStyle w:val="Prosttext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Metodický pokyn k jednotnému postupu při uvolňování a omlouvání žáků z vyučování, prevenci a postihu záškoláctví, </w:t>
      </w:r>
    </w:p>
    <w:p w:rsidR="000863AC" w:rsidRPr="00BC61BC" w:rsidRDefault="00BC61BC" w:rsidP="00BC61BC">
      <w:pPr>
        <w:pStyle w:val="Prosttext"/>
        <w:numPr>
          <w:ilvl w:val="0"/>
          <w:numId w:val="1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93E35">
        <w:rPr>
          <w:rFonts w:ascii="Times New Roman" w:hAnsi="Times New Roman"/>
          <w:color w:val="000000" w:themeColor="text1"/>
          <w:sz w:val="24"/>
          <w:szCs w:val="24"/>
        </w:rPr>
        <w:t>Metodický pokyn k primární prevenci sociálně patologických jevů (alkohol, drogy a jiné návykové látky)</w:t>
      </w:r>
    </w:p>
    <w:sectPr w:rsidR="000863AC" w:rsidRPr="00BC61BC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E3B" w:rsidRDefault="00B87E3B" w:rsidP="00F15613">
      <w:pPr>
        <w:spacing w:line="240" w:lineRule="auto"/>
      </w:pPr>
      <w:r>
        <w:separator/>
      </w:r>
    </w:p>
  </w:endnote>
  <w:endnote w:type="continuationSeparator" w:id="0">
    <w:p w:rsidR="00B87E3B" w:rsidRDefault="00B87E3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E3B" w:rsidRDefault="00B87E3B" w:rsidP="00F15613">
      <w:pPr>
        <w:spacing w:line="240" w:lineRule="auto"/>
      </w:pPr>
      <w:r>
        <w:separator/>
      </w:r>
    </w:p>
  </w:footnote>
  <w:footnote w:type="continuationSeparator" w:id="0">
    <w:p w:rsidR="00B87E3B" w:rsidRDefault="00B87E3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C7D"/>
    <w:multiLevelType w:val="hybridMultilevel"/>
    <w:tmpl w:val="A4889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74A"/>
    <w:multiLevelType w:val="hybridMultilevel"/>
    <w:tmpl w:val="DC6C97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5379"/>
    <w:multiLevelType w:val="hybridMultilevel"/>
    <w:tmpl w:val="3D7AE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17CA"/>
    <w:multiLevelType w:val="hybridMultilevel"/>
    <w:tmpl w:val="9642EA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F1F84"/>
    <w:multiLevelType w:val="hybridMultilevel"/>
    <w:tmpl w:val="6396C7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50190"/>
    <w:multiLevelType w:val="hybridMultilevel"/>
    <w:tmpl w:val="22C41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65AD2"/>
    <w:multiLevelType w:val="hybridMultilevel"/>
    <w:tmpl w:val="04CC67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4098"/>
    <w:multiLevelType w:val="hybridMultilevel"/>
    <w:tmpl w:val="DF9CF184"/>
    <w:lvl w:ilvl="0" w:tplc="C65C2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7575F6"/>
    <w:multiLevelType w:val="hybridMultilevel"/>
    <w:tmpl w:val="419A1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C1FDD"/>
    <w:multiLevelType w:val="hybridMultilevel"/>
    <w:tmpl w:val="5022B2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B14AD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F6FCC"/>
    <w:rsid w:val="00862C56"/>
    <w:rsid w:val="008B4966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87E3B"/>
    <w:rsid w:val="00BC61BC"/>
    <w:rsid w:val="00BD04D6"/>
    <w:rsid w:val="00BE1819"/>
    <w:rsid w:val="00BF49AF"/>
    <w:rsid w:val="00C6493E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7AE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F071C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BC61BC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BC61BC"/>
    <w:pPr>
      <w:spacing w:after="0" w:line="240" w:lineRule="auto"/>
      <w:contextualSpacing w:val="0"/>
      <w:jc w:val="left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C61BC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5</Pages>
  <Words>1229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Ruzicka Michal</cp:lastModifiedBy>
  <cp:revision>2</cp:revision>
  <cp:lastPrinted>2014-08-08T08:54:00Z</cp:lastPrinted>
  <dcterms:created xsi:type="dcterms:W3CDTF">2020-10-20T18:02:00Z</dcterms:created>
  <dcterms:modified xsi:type="dcterms:W3CDTF">2020-10-20T18:02:00Z</dcterms:modified>
</cp:coreProperties>
</file>