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>
          <w:i w:val="1"/>
          <w:sz w:val="14"/>
          <w:szCs w:val="14"/>
        </w:rPr>
      </w:pPr>
      <w:r w:rsidDel="00000000" w:rsidR="00000000" w:rsidRPr="00000000">
        <w:rPr>
          <w:highlight w:val="cyan"/>
          <w:rtl w:val="0"/>
        </w:rPr>
        <w:t xml:space="preserve">Okruhy z USS/SZZTY určené pro obory: Speciální pedagogika pro 2. stupeň základních škol a pro střední školy (U2SP-NMgr) a Učitelství pro 1. st. ZŠ a speciální pedagogika (U1SPN-Mgr, U1SP-Mgr)</w:t>
      </w:r>
      <w:r w:rsidDel="00000000" w:rsidR="00000000" w:rsidRPr="00000000">
        <w:rPr>
          <w:i w:val="1"/>
          <w:sz w:val="14"/>
          <w:szCs w:val="14"/>
          <w:rtl w:val="0"/>
        </w:rPr>
        <w:t xml:space="preserve">  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Okruhy ke státní závěrečné zkoušce</w:t>
      </w:r>
    </w:p>
    <w:p w:rsidR="00000000" w:rsidDel="00000000" w:rsidP="00000000" w:rsidRDefault="00000000" w:rsidRPr="00000000" w14:paraId="00000003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Název předmětu SZZ: </w:t>
      </w:r>
      <w:r w:rsidDel="00000000" w:rsidR="00000000" w:rsidRPr="00000000">
        <w:rPr>
          <w:rtl w:val="0"/>
        </w:rPr>
        <w:t xml:space="preserve">Tyflopedie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Zkratka předmětu SZZ: </w:t>
      </w:r>
      <w:r w:rsidDel="00000000" w:rsidR="00000000" w:rsidRPr="00000000">
        <w:rPr>
          <w:rtl w:val="0"/>
        </w:rPr>
        <w:t xml:space="preserve">USS/SZZTY</w:t>
      </w:r>
    </w:p>
    <w:p w:rsidR="00000000" w:rsidDel="00000000" w:rsidP="00000000" w:rsidRDefault="00000000" w:rsidRPr="00000000" w14:paraId="00000007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Zkušební okruhy: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120" w:line="240" w:lineRule="auto"/>
        <w:ind w:left="283" w:hanging="28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Charakteristika tyflopedie a postavení tohoto oboru v soustavě věd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before="120" w:line="240" w:lineRule="auto"/>
        <w:ind w:left="283" w:hanging="283"/>
        <w:rPr/>
      </w:pPr>
      <w:r w:rsidDel="00000000" w:rsidR="00000000" w:rsidRPr="00000000">
        <w:rPr>
          <w:rtl w:val="0"/>
        </w:rPr>
        <w:t xml:space="preserve">Aplikace poznatků z oftalmologie v tyflopedické praxi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before="120" w:line="240" w:lineRule="auto"/>
        <w:ind w:left="283" w:hanging="283"/>
        <w:rPr/>
      </w:pPr>
      <w:r w:rsidDel="00000000" w:rsidR="00000000" w:rsidRPr="00000000">
        <w:rPr>
          <w:rtl w:val="0"/>
        </w:rPr>
        <w:t xml:space="preserve">Otázky terminologie a klasifikace osob se zrakovým postižením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before="120" w:line="240" w:lineRule="auto"/>
        <w:ind w:left="283" w:hanging="283"/>
        <w:rPr/>
      </w:pPr>
      <w:r w:rsidDel="00000000" w:rsidR="00000000" w:rsidRPr="00000000">
        <w:rPr>
          <w:rtl w:val="0"/>
        </w:rPr>
        <w:t xml:space="preserve">Způsoby rozvoje a využití zraku u jednotlivých kategorií osob se zrakovým postižením.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before="120" w:line="240" w:lineRule="auto"/>
        <w:ind w:left="283" w:hanging="283"/>
        <w:rPr/>
      </w:pPr>
      <w:r w:rsidDel="00000000" w:rsidR="00000000" w:rsidRPr="00000000">
        <w:rPr>
          <w:rtl w:val="0"/>
        </w:rPr>
        <w:t xml:space="preserve">Kompenzační činitele a jejich uplatnitelnost a rozvoj u osob se zrakovým postižením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before="120" w:line="240" w:lineRule="auto"/>
        <w:ind w:left="283" w:hanging="283"/>
        <w:rPr/>
      </w:pPr>
      <w:r w:rsidDel="00000000" w:rsidR="00000000" w:rsidRPr="00000000">
        <w:rPr>
          <w:rtl w:val="0"/>
        </w:rPr>
        <w:t xml:space="preserve">Historiografie péče o osoby se zrakovým postižením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before="120" w:line="240" w:lineRule="auto"/>
        <w:ind w:left="283" w:hanging="283"/>
        <w:rPr/>
      </w:pPr>
      <w:r w:rsidDel="00000000" w:rsidR="00000000" w:rsidRPr="00000000">
        <w:rPr>
          <w:rtl w:val="0"/>
        </w:rPr>
        <w:t xml:space="preserve">Pojetí komplexních služeb pro osoby se zrakovým postižením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before="120" w:line="240" w:lineRule="auto"/>
        <w:ind w:left="283" w:hanging="283"/>
        <w:rPr/>
      </w:pPr>
      <w:r w:rsidDel="00000000" w:rsidR="00000000" w:rsidRPr="00000000">
        <w:rPr>
          <w:rtl w:val="0"/>
        </w:rPr>
        <w:t xml:space="preserve">Diagnostika osob se zrakovým postižením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before="120" w:line="240" w:lineRule="auto"/>
        <w:ind w:left="283" w:hanging="283"/>
        <w:rPr/>
      </w:pPr>
      <w:r w:rsidDel="00000000" w:rsidR="00000000" w:rsidRPr="00000000">
        <w:rPr>
          <w:rtl w:val="0"/>
        </w:rPr>
        <w:t xml:space="preserve">Specifika v přístupu k osobám slabozrakým a se zbytky zraku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before="120" w:line="240" w:lineRule="auto"/>
        <w:ind w:left="283" w:hanging="283"/>
        <w:rPr/>
      </w:pPr>
      <w:r w:rsidDel="00000000" w:rsidR="00000000" w:rsidRPr="00000000">
        <w:rPr>
          <w:rtl w:val="0"/>
        </w:rPr>
        <w:t xml:space="preserve">Specifika v přístupu k osobám nevidomým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before="120" w:line="240" w:lineRule="auto"/>
        <w:ind w:left="283" w:hanging="283"/>
        <w:rPr/>
      </w:pPr>
      <w:r w:rsidDel="00000000" w:rsidR="00000000" w:rsidRPr="00000000">
        <w:rPr>
          <w:rtl w:val="0"/>
        </w:rPr>
        <w:t xml:space="preserve">Specifika v přístupu k jedincům s poruchami binokulárního vidění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before="120" w:line="240" w:lineRule="auto"/>
        <w:ind w:left="283" w:hanging="283"/>
        <w:rPr/>
      </w:pPr>
      <w:r w:rsidDel="00000000" w:rsidR="00000000" w:rsidRPr="00000000">
        <w:rPr>
          <w:rtl w:val="0"/>
        </w:rPr>
        <w:t xml:space="preserve">Specifika práce s jedinci s duálním senzorickým postižením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before="120" w:line="240" w:lineRule="auto"/>
        <w:ind w:left="283" w:hanging="283"/>
        <w:rPr/>
      </w:pPr>
      <w:r w:rsidDel="00000000" w:rsidR="00000000" w:rsidRPr="00000000">
        <w:rPr>
          <w:rtl w:val="0"/>
        </w:rPr>
        <w:t xml:space="preserve">Specifika socializace jedince se zrakovým postižením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before="120" w:line="240" w:lineRule="auto"/>
        <w:ind w:left="283" w:hanging="283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Úloha rodiny v životě osoby se zrakovým postižením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before="120" w:line="240" w:lineRule="auto"/>
        <w:ind w:left="283" w:hanging="283"/>
        <w:rPr/>
      </w:pPr>
      <w:r w:rsidDel="00000000" w:rsidR="00000000" w:rsidRPr="00000000">
        <w:rPr>
          <w:rtl w:val="0"/>
        </w:rPr>
        <w:t xml:space="preserve">Raná intervence v péči o osoby se zrakovým postižením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before="120" w:line="240" w:lineRule="auto"/>
        <w:ind w:left="283" w:hanging="283"/>
        <w:rPr/>
      </w:pPr>
      <w:r w:rsidDel="00000000" w:rsidR="00000000" w:rsidRPr="00000000">
        <w:rPr>
          <w:rtl w:val="0"/>
        </w:rPr>
        <w:t xml:space="preserve"> Priority v předškolní výchově dětí se zrakovým postižením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before="120" w:line="240" w:lineRule="auto"/>
        <w:ind w:left="283" w:hanging="283"/>
        <w:rPr/>
      </w:pPr>
      <w:r w:rsidDel="00000000" w:rsidR="00000000" w:rsidRPr="00000000">
        <w:rPr>
          <w:rtl w:val="0"/>
        </w:rPr>
        <w:t xml:space="preserve">Specifika edukace jedinců se zrakovým postižením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before="120" w:line="240" w:lineRule="auto"/>
        <w:ind w:left="283" w:hanging="283"/>
        <w:rPr/>
      </w:pPr>
      <w:r w:rsidDel="00000000" w:rsidR="00000000" w:rsidRPr="00000000">
        <w:rPr>
          <w:rtl w:val="0"/>
        </w:rPr>
        <w:t xml:space="preserve">Tyflotechnika a její využití v praxi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before="120" w:line="240" w:lineRule="auto"/>
        <w:ind w:left="283" w:hanging="283"/>
        <w:rPr/>
      </w:pPr>
      <w:r w:rsidDel="00000000" w:rsidR="00000000" w:rsidRPr="00000000">
        <w:rPr>
          <w:rtl w:val="0"/>
        </w:rPr>
        <w:t xml:space="preserve">Současné pojetí služeb ve sféře tyfloandragogiky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before="120" w:line="240" w:lineRule="auto"/>
        <w:ind w:left="283" w:hanging="283"/>
        <w:rPr/>
      </w:pPr>
      <w:r w:rsidDel="00000000" w:rsidR="00000000" w:rsidRPr="00000000">
        <w:rPr>
          <w:rtl w:val="0"/>
        </w:rPr>
        <w:t xml:space="preserve">Pozice tyflografiky v životě osob se zrakovým postižením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before="120" w:line="240" w:lineRule="auto"/>
        <w:ind w:left="283" w:hanging="283"/>
        <w:rPr/>
      </w:pPr>
      <w:r w:rsidDel="00000000" w:rsidR="00000000" w:rsidRPr="00000000">
        <w:rPr>
          <w:rtl w:val="0"/>
        </w:rPr>
        <w:t xml:space="preserve">Prostorová orientace a samostatný pohyb osob se zrakovým postižením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before="120" w:line="240" w:lineRule="auto"/>
        <w:ind w:left="283" w:hanging="283"/>
        <w:rPr/>
      </w:pPr>
      <w:r w:rsidDel="00000000" w:rsidR="00000000" w:rsidRPr="00000000">
        <w:rPr>
          <w:rtl w:val="0"/>
        </w:rPr>
        <w:t xml:space="preserve">Rozvoj sebeobslužných činností u osob se zrakovým postižením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before="120" w:line="240" w:lineRule="auto"/>
        <w:ind w:left="283" w:hanging="283"/>
        <w:rPr/>
      </w:pPr>
      <w:r w:rsidDel="00000000" w:rsidR="00000000" w:rsidRPr="00000000">
        <w:rPr>
          <w:rtl w:val="0"/>
        </w:rPr>
        <w:t xml:space="preserve">Volnočasové aktivity pro osoby se zrakovým postižením</w:t>
      </w:r>
    </w:p>
    <w:p w:rsidR="00000000" w:rsidDel="00000000" w:rsidP="00000000" w:rsidRDefault="00000000" w:rsidRPr="00000000" w14:paraId="00000020">
      <w:pPr>
        <w:spacing w:after="0" w:before="120" w:lineRule="auto"/>
        <w:rPr/>
      </w:pPr>
      <w:r w:rsidDel="00000000" w:rsidR="00000000" w:rsidRPr="00000000">
        <w:rPr>
          <w:rtl w:val="0"/>
        </w:rPr>
        <w:t xml:space="preserve">24.Stávající celosvětové trendy v koncepci služeb pro osoby se zrakovým postižením</w:t>
      </w:r>
    </w:p>
    <w:p w:rsidR="00000000" w:rsidDel="00000000" w:rsidP="00000000" w:rsidRDefault="00000000" w:rsidRPr="00000000" w14:paraId="00000021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i w:val="1"/>
          <w:color w:val="ff0000"/>
          <w:sz w:val="24"/>
          <w:szCs w:val="24"/>
        </w:rPr>
      </w:pP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Poznámka: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 jednotlivé okruhy jsou dále rozpracovány do dílčích otázek odpovídajících oboru, kdy si student losuje jednu otázku z oblasti teoretického základu a druhou otázku z metodiky. </w:t>
      </w:r>
    </w:p>
    <w:p w:rsidR="00000000" w:rsidDel="00000000" w:rsidP="00000000" w:rsidRDefault="00000000" w:rsidRPr="00000000" w14:paraId="00000024">
      <w:pPr>
        <w:spacing w:after="0" w:lineRule="auto"/>
        <w:rPr>
          <w:i w:val="1"/>
          <w:color w:val="ff0000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Součástí zkoušky je přečtení vylosovaného textu v Braillovu písmu a přepis vylosovaného textu do Braillova písma. </w:t>
      </w:r>
    </w:p>
    <w:p w:rsidR="00000000" w:rsidDel="00000000" w:rsidP="00000000" w:rsidRDefault="00000000" w:rsidRPr="00000000" w14:paraId="00000025">
      <w:pPr>
        <w:spacing w:after="0" w:lineRule="auto"/>
        <w:rPr>
          <w:i w:val="1"/>
          <w:color w:val="ff0000"/>
          <w:sz w:val="32"/>
          <w:szCs w:val="32"/>
        </w:r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Při zkoušce student předkládá seznam prostudované literatury a deník tyflopedické praxe s hodnocením.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Doporučená základní literatura: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BALUNOVÁ, K., HEŘMÁNKOVÁ, D., LUDÍKOVÁ, L. Kapitoly z rané výchovy dítěte se zrakovým postižením. Olomouc: UPOL, 2001. ISBN 80-244-0381-1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BASLEROVÁ, P. a kol. Metodika práce asistenta pedagoga se žákem se zrakovým postižením. Olomouc: Univerzita Palackého, 2012. ISBN 978-80-244-3376-9.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BASLEROVÁ, P. a kol. Metodika práce se žákem se zrakovým postižením. Olomouc: Univerzita Palackého, 2012. ISBN 978-80-244-3307-3.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BENDOVÁ, P., JEŘÁBKOVÁ, K., RŮŽIČKOVÁ, V. Kompenzační pomůcky pro osoby se specifickými potřebami. Olomouc: VUP, 2006. ISBN 80-244-1436-8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ČÁLEK, O. a kol. Vývoj osobnosti zrakově těžce postižených. 1. vyd. Praha: SPN, 1986.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FINKOVÁ, D. LUDÍKOVÁ, L. RŮŽIČKOVÁ, V.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Speciální pedagogika osob se zrakovým postižením.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 Olomouc: Univerzita Palackého, 2007. ISBN 978-80-244-1857-5.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FINKOVÁ, D.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Základy tyflopedie – předmět, cíle, techniky prostorové orientace a komunikace.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Olomouc: Univerzita Palackého, 2010. ISBN 978-80-244-2627-3.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FINKOVÁ, D., RŮŽIČKOVÁ, V., STEJSKALOVÁ, K.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Úvod do speciální pedagogiky osob se zrakovým postižením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(multimediální studijní opora)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[CD].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Olomouc: Univerzita Palackého, 2009. ISBN 978-80-244-2517-7.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FINKOVÁ, D., RŮŽIČKOVÁ, V., STEJSKALOVÁ, K.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Dítě se zrakovým postižením v raném a předškolním věku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(multimediální studijní opora)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[CD].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Olomouc: Univerzita Palackého, 2011. ISBN 978-80-244-2743-0.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FINKOVÁ, D., RŮŽIČKOVÁ, V., STEJSKALOVÁ, K.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 Edukační proces u osob se zrakovým postižením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(multimediální studijní opora)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[CD].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Olomouc: Univerzita Palackého, 2011. ISBN 978-80-244-2745-4.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FINKOVÁ, D., RŮŽIČKOVÁ, V., STEJSKALOVÁ, K.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Speciální pedagogika osob se zrakovým postižením v dospělém a seniorském věku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(multimediální studijní opora)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[CD].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 Olomouc: Univerzita Palackého, 2011. ISBN 978-80-244-2744-7.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FINKOVÁ, D.,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MITRYCHOVÁ, L.,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 STEJSKALOVÁ, K.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Terapeutické působení na osoby se zrakovým postižením (multimediální studijní opora)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[CD].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 Olomouc: Univerzita Palackého, 2012. ISBN 978-80-244-3081-2.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FINKOVÁ, D.,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MITRYCHOVÁ, L.,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RŮŽIČKOVÁ, 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., STEJSKALOVÁ, K.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Osoby se zrakovým postižením v procesu komunikace (multimediální studijní opora)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[CD].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 Olomouc, Univerzita Palackého, 2012. ISBN 978-80-244-3082-9.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FINKOVÁ, D., RŮŽIČKOVÁ, V., STEJSKALOVÁ, K.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 Mimoškolní aktivity a speciálněpedagogické působení na osoby se zrakovým postižením (multimediální studijní opora)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[CD]. Olomouc: Univerzita Palackého, 2012. ISBN 978-80-244-3083-6.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FINKOVÁ, D., RŮŽIČKOVÁ, V., STEJSKALOVÁ, K.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Otázky rehabilitace osob později osleplých (multimediální studijní opora)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[CD]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 Olomouc: Univerzita Palackého, 2012. ISBN  978-80-244-3084-3.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FINKOVÁ, D., RŮŽIČKOVÁ, V., REGEC, V., STEJSKALOVÁ, K.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Speciální pedagogika se zaměřením na možnosti rozvoje a podpory osob se zrakovým postižením (multimediální studijní opora)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[CD]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 Olomouc: Univerzita Palackého, 2012. ISBN 978-80-244-30825-0.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FINKOVÁ, D., LUDÍKOVÁ, L., STEJSKALOVÁ, K.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Teoretická východiska speciální pedagogiky osob se zrakovým postižením.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 Olomouc: Univerzita Palackého, 2013.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FINKOVÁ, D., LUDÍKOVÁ, L.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Speciální pedagogika osob se zrakovým postižením v raném a předškolním věku.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Olomouc: Univerzita Palackého, 2013.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FINKOVÁ, D., LUDÍKOVÁ, L., STEJSKALOVÁ, K.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Specifika edukace žáků se zrakovým postižením na ZŠ a SŠ.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 Olomouc: Univerzita Palackého, 2013.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FINKOVÁ, D., LUDÍKOVÁ, L.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Specifika komunikace s osobami se zrakovým postižením.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Olomouc: Univerzita Palackého, 2013.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HADJ-MOUSSOVÁ, Z. Psychologie handicapu. Část 2, Rodina a její význam pro rozvoj handicapovaného jedince. 1. vyd. Liberec: Technická univerzita, 1997. ISBN: 80-7083-210-X.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HRONEK, J. et. al. Vybrané kapitoly z historie péče o děti s vadami zraku. Olomouc: UP, 1971.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HYCL, J., VALEŠOVÁ, L. Atlas oftalmologie. 1. vyd. Praha: Triton, 2003. ISBN 80-7254-382-2.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JESENSKÝ, J. (1970). Poznávací význam tyflografiky. 1. vyd. Praha.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JESENSKÝ, J. (1983). Tyflografické výzkumy a studie. Praha: SI.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JESENSKÝ, J. (1988). Hmatové vnímání informací s pomocí tyflografiky. SPN.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KUCHYNKA, P. a kol. Oční lékařství. 1. vyd. Praha: Grada, 2007. ISBN 978-80-247-1163-8.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LITVAK, A. G. Nástin psychologie nevidomých a slabozrakých. 1. vyd. Praha: Státní pedagogické nakladatelství, 1979.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LUDÍKOVÁ, L. Tyflopedie II. 1. vyd. Olomouc: Univerzita Palackého, 1989.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LUDÍKOVÁ, L. Tyflopedie. 1. vyd. Olomouc: Univerzita Palackého, 1988.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MAJEROVÁ, H. Vnímání osoby se zrakovým postižením v kontextu specifik představivosti. Olomouc: VUP, 2016. ISBN 978-80-244-5052-0.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MORAVCOVÁ, D. Zraková terapie slabozrakých a pacientů s nízkým vizem. Praha: Triton, 2004. ISBN 80-7254-476-4.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NIELSENOVÁ, L. Učení zrakově postižených v raném věku. Praha: ISV, 1998. ISBN 80-85866-26-9.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ROZSÍVAL, P. et al. Oční lékařství. Praha: Galén a Karolinum, 2006. ISBN 80-7262-404-0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RŮŽIČKOVÁ, V., KROUPOVÁ, K., KRAMOSILOVÁ, Z. 2016. Zrakový trénink a jeho podmínky. 1. vydání Olomouc: UP, 2016. 128 s. ISBN 978-80-244-5096-4.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RŮŽIČKOVÁ, V. KROUPOVÁ, K. Pohled na samostatný pohyb a prostorovou orientaci osob se zrakovým postižením. Olomouc: UP, 2017.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RŮŽIČKOVÁ, V.; KROUPOVÁ, K. (2020). Tyflografika: reléfní grafika a její role v životě osob se zrakovým postižením. Olomouc: Univerzita Palackého. ISBN 978-80-244-5732-1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VÁGNEROVÁ, M. Oftalmopsychologie dětského věku.Praha: Karolinum, 1995.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WIENER, P. (2006). Prostorová orientace zrakově postižených. Praha: Institut rehabilitace zrakově postižených, UK FHS.</w:t>
      </w:r>
    </w:p>
    <w:p w:rsidR="00000000" w:rsidDel="00000000" w:rsidP="00000000" w:rsidRDefault="00000000" w:rsidRPr="00000000" w14:paraId="0000004F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Možné cizojazyčné zdroje: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ARTER, CH.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Children with Visual Impairment in Mainstream Settings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Routledge, 2013. ISBN</w:t>
        <w:tab/>
        <w:t xml:space="preserve">113410586X, 9781134105861.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BAILEY, I. L., HALL, A.,  LUECK, A. H.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Visual impairment: An overview.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American Foundation for the Blind, 1990.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BRILLIANT, R. 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Essential of Low Vision Practise.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USA: Butterworth-Heinemann, 1999. ISBN 0-7506-9307.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BROWN, B.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Low Vision Handbook.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USA: Slack, 1997. ISBN 1-55642-329-2.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CORN, A. L., ERIN, J. N.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Foundations of Low Vision: Clinical and Functional Perspectives.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American Foundation for the Blind, 2010. ISBN 089128883X, 9780891288831.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DAVIS, P.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Including Children with Visual Impairment in Mainstream Schools: A Practical Guide.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Routledge, 2013. ISBN 1135373124, 9781135373122.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FLETCHER, D. C., COLENBRADER, A.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Introducing Rehabilitation.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Ophtalmology Monographs: American Academy of Ophtalmology, 1999. ISBN 1-56055-1704.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GORDON, 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The Aging Eye.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Harvard Medical School book. Simon and Schuster, 2001. ISBN</w:t>
        <w:tab/>
        <w:t xml:space="preserve">0743215036, 9780743215039.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HERSH, M., JOHNSON, M. A.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Assistive Technology for Visually Impaired and Blind People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Springer Science &amp; Business Media, 2010. ISBN 1846288673, 9781846288678.</w:t>
        <w:tab/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LUECK, A. H.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Functional Vision: A Practitioner's Guide to Evaluation and Intervention.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American Foundation for the Blind, 2004.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MASON, H., MCCALL, S.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Visual Impairment: Access to Education for Children and Young People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Routledge, 2013. ISBN 1136605428, 9781136605420.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POGRUND, R. L., FAZZI, D. L.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Early Focus: Working with Young Blind and Visually Impaired Children and Their Families.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American Foundation for the Blind, 2002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ISBN 0891288562, 9780891288565.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ROE, J., WEBSTER, A.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Children with Visual Impairments: Social Interaction, Language and Learning.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Routledge, 2002. ISBN 1134753594, 9781134753598.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RUMELT, S.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Causes and Coping with Visual Impairment and Blindness.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BoD – Books on Demand, 2018. ISBN 178923770X, 9781789237702.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RŮŽIČKOVÁ, V. et al.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Basics of special education of persons with visual impairment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Olomouc: Palacký University Olomouc, 2012. ISBN 978-80-244-3097-3.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SCHEIMAN, M., SHCEIMAN, M., WHITTAKER, S.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Low Vision Rehabilitation: A Practical Guide for Occupational Therapists.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SLACK Incorporated, 2007.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ISBN </w:t>
        <w:tab/>
        <w:t xml:space="preserve">1556427344, 9781556427343.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TUTTLE, D. W., TUTTLE, N. R.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Self-esteem and Adjusting with Blindness: The Process of Responding to Life's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Demands.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Charles C Thomas Publisher, 2004. ISBN 0398075085, 9780398075088.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VASH, C. L., CREWE, N. M.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Psychology of Disability.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Springer Series on Rehabilitation. Springer Publishing Company, 2003. ISBN 0826133428, 9780826133427.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WIENER, W. R., WELSH, R. L., BLASCH, B. B.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Foundations of Orientation and Mobility.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American Foundation for the Blind, 2010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ISBN 0891284486, 9780891284482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4">
      <w:pPr>
        <w:spacing w:after="0" w:line="360" w:lineRule="auto"/>
        <w:ind w:left="425" w:firstLine="0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 w:orient="portrait"/>
      <w:pgMar w:bottom="1843" w:top="1985" w:left="2268" w:right="1418" w:header="709" w:footer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4f4c4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f4c4d"/>
        <w:sz w:val="16"/>
        <w:szCs w:val="16"/>
        <w:u w:val="none"/>
        <w:shd w:fill="auto" w:val="clear"/>
        <w:vertAlign w:val="baseline"/>
        <w:rtl w:val="0"/>
      </w:rPr>
      <w:t xml:space="preserve">Pedagogická fakulta Univerzity Palackého v Olomouci</w:t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4f4c4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f4c4d"/>
        <w:sz w:val="16"/>
        <w:szCs w:val="16"/>
        <w:u w:val="none"/>
        <w:shd w:fill="auto" w:val="clear"/>
        <w:vertAlign w:val="baseline"/>
        <w:rtl w:val="0"/>
      </w:rPr>
      <w:t xml:space="preserve">Žižkovo nám. 5 | 771 40 Olomouc | T: 585 635 088, 585 635 099</w:t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4f4c4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4f4c4d"/>
        <w:sz w:val="16"/>
        <w:szCs w:val="16"/>
        <w:u w:val="none"/>
        <w:shd w:fill="auto" w:val="clear"/>
        <w:vertAlign w:val="baseline"/>
        <w:rtl w:val="0"/>
      </w:rPr>
      <w:t xml:space="preserve">www.pdf.upol.cz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4f4c4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f4c4d"/>
        <w:sz w:val="16"/>
        <w:szCs w:val="16"/>
        <w:u w:val="none"/>
        <w:shd w:fill="auto" w:val="clear"/>
        <w:vertAlign w:val="baseline"/>
        <w:rtl w:val="0"/>
      </w:rPr>
      <w:t xml:space="preserve">Pedagogická fakulta Univerzity Palackého v Olomouci</w:t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4f4c4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f4c4d"/>
        <w:sz w:val="16"/>
        <w:szCs w:val="16"/>
        <w:u w:val="none"/>
        <w:shd w:fill="auto" w:val="clear"/>
        <w:vertAlign w:val="baseline"/>
        <w:rtl w:val="0"/>
      </w:rPr>
      <w:t xml:space="preserve">Žižkovo nám. 5 | 771 40 Olomouc | T: 585 635 088, 585 635 099</w:t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0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4f4c4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4f4c4d"/>
        <w:sz w:val="16"/>
        <w:szCs w:val="16"/>
        <w:u w:val="none"/>
        <w:shd w:fill="auto" w:val="clear"/>
        <w:vertAlign w:val="baseline"/>
        <w:rtl w:val="0"/>
      </w:rPr>
      <w:t xml:space="preserve">www.pdf.upol.cz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2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Ústav speciálněpedagogických studií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720090" distT="720090" distL="114300" distR="114300" hidden="0" layoutInCell="1" locked="0" relativeHeight="0" simplePos="0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b="0" l="0" r="0" t="0"/>
          <wp:wrapTopAndBottom distB="720090" distT="72009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2915" cy="719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3" w:hanging="283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283" w:hanging="283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cs-CZ"/>
      </w:rPr>
    </w:rPrDefault>
    <w:pPrDefault>
      <w:pPr>
        <w:spacing w:after="120" w:line="25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Times New Roman" w:cs="Times New Roman" w:eastAsia="Times New Roman" w:hAnsi="Times New Roman"/>
      <w:i w:val="1"/>
      <w:color w:val="4f4c4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sz w:val="56"/>
      <w:szCs w:val="56"/>
    </w:rPr>
  </w:style>
  <w:style w:type="paragraph" w:styleId="Normln" w:default="1">
    <w:name w:val="Normal"/>
    <w:aliases w:val="základní"/>
    <w:qFormat w:val="1"/>
    <w:rsid w:val="003B14AD"/>
    <w:pPr>
      <w:spacing w:after="120" w:line="250" w:lineRule="exact"/>
      <w:contextualSpacing w:val="1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 w:val="1"/>
    <w:rsid w:val="000F0D39"/>
    <w:pPr>
      <w:keepNext w:val="1"/>
      <w:keepLines w:val="1"/>
      <w:spacing w:before="240" w:line="300" w:lineRule="atLeast"/>
      <w:outlineLvl w:val="0"/>
    </w:pPr>
    <w:rPr>
      <w:rFonts w:eastAsia="Times New Roman"/>
      <w:b w:val="1"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 w:val="1"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 w:val="1"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 w:val="1"/>
    <w:qFormat w:val="1"/>
    <w:rsid w:val="005E387A"/>
    <w:pPr>
      <w:keepNext w:val="1"/>
      <w:keepLines w:val="1"/>
      <w:spacing w:before="40"/>
      <w:outlineLvl w:val="3"/>
    </w:pPr>
    <w:rPr>
      <w:rFonts w:ascii="Times New Roman" w:eastAsia="Times New Roman" w:hAnsi="Times New Roman"/>
      <w:i w:val="1"/>
      <w:iCs w:val="1"/>
      <w:color w:val="4f4c4d"/>
      <w:sz w:val="24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link w:val="Nadpis1"/>
    <w:uiPriority w:val="1"/>
    <w:rsid w:val="00862C56"/>
    <w:rPr>
      <w:rFonts w:ascii="Arial" w:cs="Times New Roman" w:eastAsia="Times New Roman" w:hAnsi="Arial"/>
      <w:b w:val="1"/>
      <w:sz w:val="24"/>
      <w:szCs w:val="32"/>
    </w:rPr>
  </w:style>
  <w:style w:type="paragraph" w:styleId="Zhlav">
    <w:name w:val="header"/>
    <w:basedOn w:val="Normln"/>
    <w:link w:val="ZhlavChar"/>
    <w:uiPriority w:val="99"/>
    <w:semiHidden w:val="1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styleId="ZhlavChar" w:customStyle="1">
    <w:name w:val="Záhlaví Char"/>
    <w:link w:val="Zhlav"/>
    <w:uiPriority w:val="99"/>
    <w:semiHidden w:val="1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 w:val="1"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styleId="ZpatChar" w:customStyle="1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styleId="Nadpis2Char" w:customStyle="1">
    <w:name w:val="Nadpis 2 Char"/>
    <w:link w:val="Nadpis2"/>
    <w:uiPriority w:val="1"/>
    <w:rsid w:val="00862C56"/>
    <w:rPr>
      <w:rFonts w:ascii="Arial" w:cs="Times New Roman" w:eastAsia="Times New Roman" w:hAnsi="Arial"/>
      <w:b w:val="1"/>
      <w:szCs w:val="26"/>
    </w:rPr>
  </w:style>
  <w:style w:type="character" w:styleId="Nadpis3Char" w:customStyle="1">
    <w:name w:val="Nadpis 3 Char"/>
    <w:link w:val="Nadpis3"/>
    <w:uiPriority w:val="9"/>
    <w:semiHidden w:val="1"/>
    <w:rsid w:val="000F0D39"/>
    <w:rPr>
      <w:rFonts w:ascii="Georgia" w:cs="Times New Roman" w:eastAsia="Times New Roman" w:hAnsi="Georgia"/>
      <w:b w:val="1"/>
      <w:szCs w:val="24"/>
    </w:rPr>
  </w:style>
  <w:style w:type="character" w:styleId="Nadpis4Char" w:customStyle="1">
    <w:name w:val="Nadpis 4 Char"/>
    <w:link w:val="Nadpis4"/>
    <w:uiPriority w:val="9"/>
    <w:semiHidden w:val="1"/>
    <w:rsid w:val="00BF49AF"/>
    <w:rPr>
      <w:rFonts w:ascii="Times New Roman" w:cs="Times New Roman" w:eastAsia="Times New Roman" w:hAnsi="Times New Roman"/>
      <w:i w:val="1"/>
      <w:iCs w:val="1"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 w:val="1"/>
    <w:qFormat w:val="1"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styleId="NzevChar" w:customStyle="1">
    <w:name w:val="Název Char"/>
    <w:link w:val="Nzev"/>
    <w:uiPriority w:val="10"/>
    <w:semiHidden w:val="1"/>
    <w:rsid w:val="00BF49AF"/>
    <w:rPr>
      <w:rFonts w:ascii="Times New Roman" w:cs="Times New Roman" w:eastAsia="Times New Roman" w:hAnsi="Times New Roman"/>
      <w:spacing w:val="-10"/>
      <w:kern w:val="28"/>
      <w:sz w:val="56"/>
      <w:szCs w:val="56"/>
    </w:rPr>
  </w:style>
  <w:style w:type="paragraph" w:styleId="Podtitul" w:customStyle="1">
    <w:name w:val="Podtitul"/>
    <w:basedOn w:val="Normln"/>
    <w:next w:val="Normln"/>
    <w:link w:val="PodtitulChar"/>
    <w:uiPriority w:val="11"/>
    <w:semiHidden w:val="1"/>
    <w:qFormat w:val="1"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styleId="PodtitulChar" w:customStyle="1">
    <w:name w:val="Podtitul Char"/>
    <w:link w:val="Podtitul"/>
    <w:uiPriority w:val="11"/>
    <w:semiHidden w:val="1"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after="100" w:afterAutospacing="1" w:before="100" w:beforeAutospacing="1" w:line="240" w:lineRule="auto"/>
    </w:pPr>
    <w:rPr>
      <w:rFonts w:eastAsia="Times New Roman"/>
      <w:szCs w:val="24"/>
      <w:lang w:eastAsia="cs-CZ"/>
    </w:rPr>
  </w:style>
  <w:style w:type="character" w:styleId="apple-converted-space" w:customStyle="1">
    <w:name w:val="apple-converted-space"/>
    <w:basedOn w:val="Standardnpsmoodstavce"/>
    <w:rsid w:val="009554FB"/>
  </w:style>
  <w:style w:type="paragraph" w:styleId="zkladntun" w:customStyle="1">
    <w:name w:val="základní tučně"/>
    <w:basedOn w:val="Normln"/>
    <w:qFormat w:val="1"/>
    <w:rsid w:val="00702C0D"/>
    <w:rPr>
      <w:rFonts w:cs="Arial" w:eastAsia="Times New Roman"/>
      <w:b w:val="1"/>
      <w:bCs w:val="1"/>
      <w:color w:val="444444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 w:val="1"/>
    <w:rsid w:val="00C0416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C0416B"/>
    <w:rPr>
      <w:rFonts w:ascii="Segoe UI" w:cs="Segoe UI" w:hAnsi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 w:val="1"/>
    <w:rsid w:val="00C0416B"/>
    <w:pPr>
      <w:ind w:left="720"/>
    </w:pPr>
  </w:style>
  <w:style w:type="paragraph" w:styleId="Podnadpis">
    <w:name w:val="Subtitle"/>
    <w:basedOn w:val="Normln"/>
    <w:next w:val="Normln"/>
    <w:link w:val="PodnadpisChar"/>
    <w:uiPriority w:val="11"/>
    <w:qFormat w:val="1"/>
    <w:rsid w:val="005B5291"/>
    <w:pPr>
      <w:numPr>
        <w:ilvl w:val="1"/>
      </w:numPr>
      <w:spacing w:after="160"/>
    </w:pPr>
    <w:rPr>
      <w:rFonts w:asciiTheme="minorHAnsi" w:cstheme="minorBidi" w:eastAsiaTheme="minorEastAsia" w:hAnsiTheme="minorHAnsi"/>
      <w:color w:val="5a5a5a" w:themeColor="text1" w:themeTint="0000A5"/>
      <w:spacing w:val="15"/>
      <w:sz w:val="22"/>
    </w:rPr>
  </w:style>
  <w:style w:type="character" w:styleId="PodnadpisChar" w:customStyle="1">
    <w:name w:val="Podnadpis Char"/>
    <w:basedOn w:val="Standardnpsmoodstavce"/>
    <w:link w:val="Podnadpis"/>
    <w:uiPriority w:val="11"/>
    <w:rsid w:val="005B5291"/>
    <w:rPr>
      <w:rFonts w:asciiTheme="minorHAnsi" w:cstheme="minorBidi" w:eastAsiaTheme="minorEastAsia" w:hAnsiTheme="minorHAnsi"/>
      <w:color w:val="5a5a5a" w:themeColor="text1" w:themeTint="0000A5"/>
      <w:spacing w:val="15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M/N6T627GO0E78/rVwa+KYDFig==">AMUW2mWDeour3culoRNxYCwi2kc45l2Qs55qBOiZKCuIUkNL7AaxwqJKYQZ/+E9ESup8TVO/C5hVijSsCmF5ehkA6y/iP9d9TWWwew6Mq27ZeSpdLNQLV1sRLr79c7tMEJpgawlkD1Q6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2021-02-08T19:56:00Z</dcterms:created>
  <dc:creator>Jiri Langer</dc:creator>
</cp:coreProperties>
</file>